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bookmarkStart w:id="0" w:name="OLE_LINK193"/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bookmarkEnd w:id="0"/>
    <w:p w14:paraId="4538BFCD" w14:textId="03808C8E" w:rsidR="00431340" w:rsidRPr="00C67487" w:rsidRDefault="00C4261A" w:rsidP="00C4261A">
      <w:pPr>
        <w:pStyle w:val="Els-Title"/>
        <w:rPr>
          <w:lang w:eastAsia="zh-CN"/>
        </w:rPr>
      </w:pPr>
      <w:r w:rsidRPr="00523E01">
        <w:t>Salt-Induced Microstructuring Effects on Plant Protein Gels</w:t>
      </w:r>
    </w:p>
    <w:p w14:paraId="3E058801" w14:textId="4016BBBD" w:rsidR="00003BE5" w:rsidRPr="009C71BA" w:rsidRDefault="00C97B50" w:rsidP="00C97B50">
      <w:pPr>
        <w:pStyle w:val="Els-Author"/>
        <w:ind w:right="2"/>
        <w:rPr>
          <w:sz w:val="24"/>
          <w:szCs w:val="24"/>
        </w:rPr>
      </w:pPr>
      <w:r w:rsidRPr="0014347D">
        <w:rPr>
          <w:sz w:val="24"/>
          <w:szCs w:val="24"/>
          <w:lang w:val="nb-NO"/>
        </w:rPr>
        <w:t>Xue Dong</w:t>
      </w:r>
      <w:r w:rsidRPr="00913ED2">
        <w:rPr>
          <w:sz w:val="24"/>
          <w:szCs w:val="24"/>
          <w:vertAlign w:val="superscript"/>
          <w:lang w:val="nb-NO"/>
        </w:rPr>
        <w:t>a</w:t>
      </w:r>
      <w:r w:rsidRPr="0014347D">
        <w:rPr>
          <w:sz w:val="24"/>
          <w:szCs w:val="24"/>
          <w:lang w:val="nb-NO"/>
        </w:rPr>
        <w:t>, Yong Wang</w:t>
      </w:r>
      <w:r w:rsidRPr="00913ED2">
        <w:rPr>
          <w:sz w:val="24"/>
          <w:szCs w:val="24"/>
          <w:vertAlign w:val="superscript"/>
          <w:lang w:val="nb-NO"/>
        </w:rPr>
        <w:t>a</w:t>
      </w:r>
      <w:r w:rsidRPr="0014347D">
        <w:rPr>
          <w:sz w:val="24"/>
          <w:szCs w:val="24"/>
          <w:lang w:val="nb-NO"/>
        </w:rPr>
        <w:t>, Xiao Dong Chen</w:t>
      </w:r>
      <w:r w:rsidRPr="00913ED2">
        <w:rPr>
          <w:sz w:val="24"/>
          <w:szCs w:val="24"/>
          <w:vertAlign w:val="superscript"/>
          <w:lang w:val="nb-NO"/>
        </w:rPr>
        <w:t>b</w:t>
      </w:r>
      <w:r w:rsidRPr="0014347D">
        <w:rPr>
          <w:sz w:val="24"/>
          <w:szCs w:val="24"/>
          <w:lang w:val="nb-NO"/>
        </w:rPr>
        <w:t>, Cordelia Selomulya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vertAlign w:val="superscript"/>
        </w:rPr>
        <w:footnoteReference w:id="1"/>
      </w:r>
      <w:r w:rsidR="00003BE5" w:rsidRPr="0014347D">
        <w:rPr>
          <w:sz w:val="24"/>
          <w:szCs w:val="24"/>
          <w:lang w:val="nb-NO"/>
        </w:rPr>
        <w:t xml:space="preserve"> 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52CE03F" w14:textId="1AF9F1BB" w:rsidR="00431340" w:rsidRPr="000011F9" w:rsidRDefault="000011F9" w:rsidP="000011F9">
      <w:pPr>
        <w:pStyle w:val="Els-Affiliation"/>
        <w:rPr>
          <w:lang w:val="nb-NO" w:eastAsia="zh-CN"/>
        </w:rPr>
      </w:pPr>
      <w:r>
        <w:rPr>
          <w:rFonts w:hint="eastAsia"/>
          <w:vertAlign w:val="superscript"/>
          <w:lang w:val="nb-NO" w:eastAsia="zh-CN"/>
        </w:rPr>
        <w:t>a</w:t>
      </w:r>
      <w:r>
        <w:rPr>
          <w:rFonts w:hint="eastAsia"/>
          <w:lang w:val="nb-NO" w:eastAsia="zh-CN"/>
        </w:rPr>
        <w:t xml:space="preserve"> S</w:t>
      </w:r>
      <w:r w:rsidRPr="00F304AE">
        <w:rPr>
          <w:lang w:val="nb-NO"/>
        </w:rPr>
        <w:t xml:space="preserve">chool of Chemical Engineering, UNSW, </w:t>
      </w:r>
      <w:r w:rsidRPr="00A610B6">
        <w:rPr>
          <w:lang w:val="nb-NO"/>
        </w:rPr>
        <w:t xml:space="preserve">Sydney, NSW2052, </w:t>
      </w:r>
      <w:r w:rsidRPr="00F304AE">
        <w:rPr>
          <w:lang w:val="nb-NO"/>
        </w:rPr>
        <w:t>Australia</w:t>
      </w:r>
    </w:p>
    <w:p w14:paraId="05A3C6FA" w14:textId="1FBF6DC4" w:rsidR="00431340" w:rsidRDefault="008E6985" w:rsidP="00431340">
      <w:pPr>
        <w:pStyle w:val="Els-Affiliation"/>
        <w:spacing w:after="400"/>
        <w:rPr>
          <w:lang w:eastAsia="zh-CN"/>
        </w:rPr>
      </w:pPr>
      <w:r w:rsidRPr="0020015D">
        <w:rPr>
          <w:vertAlign w:val="superscript"/>
          <w:lang w:val="nb-NO"/>
        </w:rPr>
        <w:t>b</w:t>
      </w:r>
      <w:r w:rsidRPr="0020015D">
        <w:rPr>
          <w:lang w:val="nb-NO"/>
        </w:rPr>
        <w:t xml:space="preserve"> Institute of Biopharmaceutical and Health Engineering, International School of Postgraduates, Tsinghua University, Shenzhen, 518055,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196E5608" w14:textId="5ACFE179" w:rsidR="008B05C6" w:rsidRPr="00004F9F" w:rsidRDefault="008B05C6" w:rsidP="008B05C6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bookmarkStart w:id="5" w:name="OLE_LINK195"/>
      <w:r w:rsidRPr="00004F9F">
        <w:rPr>
          <w:b w:val="0"/>
          <w:sz w:val="20"/>
        </w:rPr>
        <w:t>Protein gels are widely used in food industry, though inadequate protein intake is still a challenge for certain segments of the population</w:t>
      </w:r>
      <w:r w:rsidRPr="00004F9F">
        <w:rPr>
          <w:rFonts w:hint="eastAsia"/>
          <w:b w:val="0"/>
          <w:sz w:val="20"/>
          <w:lang w:eastAsia="zh-CN"/>
        </w:rPr>
        <w:t xml:space="preserve"> [</w:t>
      </w:r>
      <w:r w:rsidRPr="00004F9F">
        <w:rPr>
          <w:b w:val="0"/>
          <w:sz w:val="20"/>
        </w:rPr>
        <w:t>1</w:t>
      </w:r>
      <w:r w:rsidRPr="00004F9F">
        <w:rPr>
          <w:rFonts w:hint="eastAsia"/>
          <w:b w:val="0"/>
          <w:sz w:val="20"/>
          <w:lang w:eastAsia="zh-CN"/>
        </w:rPr>
        <w:t>]</w:t>
      </w:r>
      <w:r w:rsidRPr="00004F9F">
        <w:rPr>
          <w:b w:val="0"/>
          <w:sz w:val="20"/>
        </w:rPr>
        <w:t xml:space="preserve">. </w:t>
      </w:r>
      <w:r w:rsidR="00500F23" w:rsidRPr="00500F23">
        <w:rPr>
          <w:b w:val="0"/>
          <w:sz w:val="20"/>
        </w:rPr>
        <w:t>As outlined in our previous review on protein-based gel system</w:t>
      </w:r>
      <w:r w:rsidR="00500F23">
        <w:rPr>
          <w:rFonts w:hint="eastAsia"/>
          <w:b w:val="0"/>
          <w:sz w:val="20"/>
          <w:lang w:eastAsia="zh-CN"/>
        </w:rPr>
        <w:t xml:space="preserve"> [</w:t>
      </w:r>
      <w:r w:rsidR="00500F23" w:rsidRPr="00500F23">
        <w:rPr>
          <w:b w:val="0"/>
          <w:sz w:val="20"/>
        </w:rPr>
        <w:t>2</w:t>
      </w:r>
      <w:r w:rsidR="00500F23">
        <w:rPr>
          <w:rFonts w:hint="eastAsia"/>
          <w:b w:val="0"/>
          <w:sz w:val="20"/>
          <w:lang w:eastAsia="zh-CN"/>
        </w:rPr>
        <w:t>]</w:t>
      </w:r>
      <w:r w:rsidR="00500F23" w:rsidRPr="00500F23">
        <w:rPr>
          <w:b w:val="0"/>
          <w:sz w:val="20"/>
        </w:rPr>
        <w:t>, the development of high-protein food gels represent a promising strategy.</w:t>
      </w:r>
      <w:r w:rsidR="00500F23">
        <w:rPr>
          <w:rFonts w:hint="eastAsia"/>
          <w:b w:val="0"/>
          <w:sz w:val="20"/>
          <w:lang w:eastAsia="zh-CN"/>
        </w:rPr>
        <w:t xml:space="preserve"> </w:t>
      </w:r>
      <w:r w:rsidR="0025530E" w:rsidRPr="00004F9F">
        <w:rPr>
          <w:b w:val="0"/>
          <w:sz w:val="20"/>
        </w:rPr>
        <w:t>P</w:t>
      </w:r>
      <w:r w:rsidR="0025530E" w:rsidRPr="00004F9F">
        <w:rPr>
          <w:rFonts w:hint="eastAsia"/>
          <w:b w:val="0"/>
          <w:sz w:val="20"/>
        </w:rPr>
        <w:t xml:space="preserve">lant proteins offer advantages such as sustainability, lower environment footprint, and broad consumer acceptance, making them attractive alternatives to animal proteins. </w:t>
      </w:r>
      <w:r w:rsidR="0025530E" w:rsidRPr="00004F9F">
        <w:rPr>
          <w:b w:val="0"/>
          <w:sz w:val="20"/>
        </w:rPr>
        <w:t>H</w:t>
      </w:r>
      <w:r w:rsidR="0025530E" w:rsidRPr="00004F9F">
        <w:rPr>
          <w:rFonts w:hint="eastAsia"/>
          <w:b w:val="0"/>
          <w:sz w:val="20"/>
        </w:rPr>
        <w:t>owever</w:t>
      </w:r>
      <w:r w:rsidR="0025530E" w:rsidRPr="00004F9F">
        <w:rPr>
          <w:rFonts w:hint="eastAsia"/>
          <w:b w:val="0"/>
          <w:bCs/>
          <w:sz w:val="20"/>
          <w:lang w:eastAsia="zh-CN"/>
        </w:rPr>
        <w:t>,</w:t>
      </w:r>
      <w:r w:rsidR="0025530E" w:rsidRPr="00004F9F">
        <w:rPr>
          <w:rFonts w:hint="eastAsia"/>
          <w:sz w:val="20"/>
          <w:lang w:eastAsia="zh-CN"/>
        </w:rPr>
        <w:t xml:space="preserve"> </w:t>
      </w:r>
      <w:r w:rsidR="0025530E" w:rsidRPr="00004F9F">
        <w:rPr>
          <w:rFonts w:hint="eastAsia"/>
          <w:b w:val="0"/>
          <w:sz w:val="20"/>
          <w:lang w:eastAsia="zh-CN"/>
        </w:rPr>
        <w:t>p</w:t>
      </w:r>
      <w:r w:rsidRPr="00004F9F">
        <w:rPr>
          <w:b w:val="0"/>
          <w:sz w:val="20"/>
        </w:rPr>
        <w:t xml:space="preserve">lant proteins often exhibit weak gelation, leading to undesirable gel textures and poor stability. </w:t>
      </w:r>
      <w:r w:rsidR="0045412D" w:rsidRPr="00004F9F">
        <w:rPr>
          <w:rFonts w:hint="eastAsia"/>
          <w:b w:val="0"/>
          <w:sz w:val="20"/>
          <w:lang w:eastAsia="zh-CN"/>
        </w:rPr>
        <w:t>D</w:t>
      </w:r>
      <w:r w:rsidRPr="00004F9F">
        <w:rPr>
          <w:b w:val="0"/>
          <w:sz w:val="20"/>
        </w:rPr>
        <w:t xml:space="preserve">eveloping plant-based high-protein gels with improved functionality remains a key challenge. </w:t>
      </w:r>
      <w:r w:rsidR="00DF3D9F" w:rsidRPr="00004F9F">
        <w:rPr>
          <w:b w:val="0"/>
          <w:sz w:val="20"/>
        </w:rPr>
        <w:t>M</w:t>
      </w:r>
      <w:r w:rsidR="00DF3D9F" w:rsidRPr="00004F9F">
        <w:rPr>
          <w:rFonts w:hint="eastAsia"/>
          <w:b w:val="0"/>
          <w:sz w:val="20"/>
        </w:rPr>
        <w:t>eanwhile</w:t>
      </w:r>
      <w:r w:rsidR="00DF3D9F" w:rsidRPr="00004F9F">
        <w:rPr>
          <w:b w:val="0"/>
          <w:sz w:val="20"/>
        </w:rPr>
        <w:t xml:space="preserve">, </w:t>
      </w:r>
      <w:r w:rsidRPr="00004F9F">
        <w:rPr>
          <w:b w:val="0"/>
          <w:sz w:val="20"/>
        </w:rPr>
        <w:t>due to the health concerns associated with high sodium intake, the development of reduced-sodium or sodium-replacement products is increasingly popular</w:t>
      </w:r>
      <w:r w:rsidRPr="00004F9F">
        <w:rPr>
          <w:rFonts w:hint="eastAsia"/>
          <w:b w:val="0"/>
          <w:sz w:val="20"/>
          <w:lang w:eastAsia="zh-CN"/>
        </w:rPr>
        <w:t xml:space="preserve"> [</w:t>
      </w:r>
      <w:r w:rsidR="00500F23">
        <w:rPr>
          <w:rFonts w:hint="eastAsia"/>
          <w:b w:val="0"/>
          <w:sz w:val="20"/>
          <w:lang w:eastAsia="zh-CN"/>
        </w:rPr>
        <w:t>3</w:t>
      </w:r>
      <w:r w:rsidRPr="00004F9F">
        <w:rPr>
          <w:rFonts w:hint="eastAsia"/>
          <w:b w:val="0"/>
          <w:sz w:val="20"/>
          <w:lang w:eastAsia="zh-CN"/>
        </w:rPr>
        <w:t>]</w:t>
      </w:r>
      <w:r w:rsidRPr="00004F9F">
        <w:rPr>
          <w:b w:val="0"/>
          <w:sz w:val="20"/>
        </w:rPr>
        <w:t>.</w:t>
      </w:r>
    </w:p>
    <w:p w14:paraId="38E73684" w14:textId="53750361" w:rsidR="008B05C6" w:rsidRPr="00004F9F" w:rsidRDefault="008B05C6" w:rsidP="008B05C6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004F9F">
        <w:rPr>
          <w:b w:val="0"/>
          <w:sz w:val="20"/>
        </w:rPr>
        <w:t xml:space="preserve">In this study, a salt-driven microstructuring strategy was developed to improve the functionality of high-concentration pea protein-curdlan composite gels, incorporating low-concentration inorganic/organic salts. Curdlan induced </w:t>
      </w:r>
      <w:r w:rsidR="00660F1E" w:rsidRPr="00004F9F">
        <w:rPr>
          <w:rFonts w:hint="eastAsia"/>
          <w:b w:val="0"/>
          <w:sz w:val="20"/>
        </w:rPr>
        <w:t>continuous</w:t>
      </w:r>
      <w:r w:rsidR="00660F1E" w:rsidRPr="00004F9F">
        <w:rPr>
          <w:b w:val="0"/>
          <w:sz w:val="20"/>
        </w:rPr>
        <w:t xml:space="preserve"> </w:t>
      </w:r>
      <w:r w:rsidRPr="00004F9F">
        <w:rPr>
          <w:b w:val="0"/>
          <w:sz w:val="20"/>
        </w:rPr>
        <w:t xml:space="preserve">gel network formation, entrapping discrete pea protein particles </w:t>
      </w:r>
      <w:r w:rsidR="00A44472" w:rsidRPr="00004F9F">
        <w:rPr>
          <w:rFonts w:hint="eastAsia"/>
          <w:b w:val="0"/>
          <w:sz w:val="20"/>
        </w:rPr>
        <w:t xml:space="preserve">as inactive </w:t>
      </w:r>
      <w:r w:rsidR="00A44472" w:rsidRPr="00004F9F">
        <w:rPr>
          <w:rFonts w:hint="eastAsia"/>
          <w:b w:val="0"/>
          <w:sz w:val="20"/>
          <w:lang w:eastAsia="zh-CN"/>
        </w:rPr>
        <w:t>gel</w:t>
      </w:r>
      <w:r w:rsidR="00A44472" w:rsidRPr="00004F9F">
        <w:rPr>
          <w:rFonts w:hint="eastAsia"/>
          <w:b w:val="0"/>
          <w:sz w:val="20"/>
        </w:rPr>
        <w:t xml:space="preserve"> fillers</w:t>
      </w:r>
      <w:r w:rsidR="00A44472" w:rsidRPr="00004F9F">
        <w:rPr>
          <w:b w:val="0"/>
          <w:sz w:val="20"/>
        </w:rPr>
        <w:t xml:space="preserve"> </w:t>
      </w:r>
      <w:r w:rsidRPr="00004F9F">
        <w:rPr>
          <w:b w:val="0"/>
          <w:sz w:val="20"/>
        </w:rPr>
        <w:t>that lacked gel-forming ability. Salts altered gel structures and mechanical properties by modifying protein micro-aggregate structure. Notably, Mg glycinate (MgGly) induced fibrillar-stranded gel structure</w:t>
      </w:r>
      <w:r w:rsidR="00D45C75" w:rsidRPr="00004F9F">
        <w:rPr>
          <w:rFonts w:hint="eastAsia"/>
          <w:b w:val="0"/>
          <w:sz w:val="20"/>
        </w:rPr>
        <w:t xml:space="preserve"> by </w:t>
      </w:r>
      <w:r w:rsidR="00D45C75" w:rsidRPr="00004F9F">
        <w:rPr>
          <w:b w:val="0"/>
          <w:sz w:val="20"/>
        </w:rPr>
        <w:t>transform</w:t>
      </w:r>
      <w:r w:rsidR="00D45C75" w:rsidRPr="00004F9F">
        <w:rPr>
          <w:rFonts w:hint="eastAsia"/>
          <w:b w:val="0"/>
          <w:sz w:val="20"/>
        </w:rPr>
        <w:t>ing</w:t>
      </w:r>
      <w:r w:rsidR="00D45C75" w:rsidRPr="00004F9F">
        <w:rPr>
          <w:b w:val="0"/>
          <w:sz w:val="20"/>
        </w:rPr>
        <w:t xml:space="preserve"> pea protein</w:t>
      </w:r>
      <w:r w:rsidR="00D45C75" w:rsidRPr="00004F9F">
        <w:rPr>
          <w:rFonts w:hint="eastAsia"/>
          <w:b w:val="0"/>
          <w:sz w:val="20"/>
        </w:rPr>
        <w:t xml:space="preserve"> particles</w:t>
      </w:r>
      <w:r w:rsidR="00D45C75" w:rsidRPr="00004F9F">
        <w:rPr>
          <w:b w:val="0"/>
          <w:sz w:val="20"/>
        </w:rPr>
        <w:t xml:space="preserve"> into active structure-forming components</w:t>
      </w:r>
      <w:r w:rsidRPr="00004F9F">
        <w:rPr>
          <w:b w:val="0"/>
          <w:sz w:val="20"/>
        </w:rPr>
        <w:t>, exhibiting superior texture, water holding capacity and stability, compared to granular gel structures induced by other salts. Rheological analysis indicated MgGly promoted gel formation, whereas salts like CaCl</w:t>
      </w:r>
      <w:r w:rsidRPr="00004F9F">
        <w:rPr>
          <w:b w:val="0"/>
          <w:sz w:val="20"/>
          <w:vertAlign w:val="subscript"/>
        </w:rPr>
        <w:t>2</w:t>
      </w:r>
      <w:r w:rsidRPr="00004F9F">
        <w:rPr>
          <w:b w:val="0"/>
          <w:sz w:val="20"/>
        </w:rPr>
        <w:t xml:space="preserve"> interrupted gelation process during cooling</w:t>
      </w:r>
      <w:r w:rsidR="00EE1161" w:rsidRPr="00004F9F">
        <w:rPr>
          <w:rFonts w:hint="eastAsia"/>
          <w:b w:val="0"/>
          <w:sz w:val="20"/>
          <w:lang w:eastAsia="zh-CN"/>
        </w:rPr>
        <w:t xml:space="preserve"> stage</w:t>
      </w:r>
      <w:r w:rsidRPr="00004F9F">
        <w:rPr>
          <w:b w:val="0"/>
          <w:sz w:val="20"/>
        </w:rPr>
        <w:t>. Unfolded protein structures induced by MgGly showed higher surface hydrophobicity, promoting the transition from α-helix to β-turn structures. Compared to monovalent salt, divalent inorganic salts caused protein to be more folded and aggregated. These findings are crucial to understand the structure-property relationships of plant</w:t>
      </w:r>
      <w:r w:rsidR="00B51F29" w:rsidRPr="00004F9F">
        <w:rPr>
          <w:b w:val="0"/>
          <w:sz w:val="20"/>
        </w:rPr>
        <w:t xml:space="preserve"> protein-polysaccharide</w:t>
      </w:r>
      <w:r w:rsidRPr="00004F9F">
        <w:rPr>
          <w:b w:val="0"/>
          <w:sz w:val="20"/>
        </w:rPr>
        <w:t xml:space="preserve"> gel</w:t>
      </w:r>
      <w:r w:rsidR="00B51F29" w:rsidRPr="00004F9F">
        <w:rPr>
          <w:rFonts w:hint="eastAsia"/>
          <w:b w:val="0"/>
          <w:sz w:val="20"/>
        </w:rPr>
        <w:t xml:space="preserve"> system</w:t>
      </w:r>
      <w:r w:rsidRPr="00004F9F">
        <w:rPr>
          <w:b w:val="0"/>
          <w:sz w:val="20"/>
        </w:rPr>
        <w:t>, offering a framework for designing plant-based high-protein gels with improved structural integrity. This study also provides valuable insights into the use of alternative salts to replace sodium salts in food systems.</w:t>
      </w:r>
    </w:p>
    <w:bookmarkEnd w:id="5"/>
    <w:p w14:paraId="4BFE0DF5" w14:textId="77777777" w:rsidR="007679DD" w:rsidRDefault="007679DD" w:rsidP="00665C88">
      <w:pPr>
        <w:pStyle w:val="Els-keywords"/>
        <w:spacing w:after="120" w:line="240" w:lineRule="auto"/>
        <w:rPr>
          <w:b/>
          <w:sz w:val="20"/>
          <w:lang w:eastAsia="zh-CN"/>
        </w:rPr>
      </w:pPr>
    </w:p>
    <w:p w14:paraId="0AE07FD0" w14:textId="09603C82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0F64F28F" w14:textId="77777777" w:rsidR="00BB58AD" w:rsidRPr="00245A79" w:rsidRDefault="00BB58AD" w:rsidP="00BB58AD">
      <w:pPr>
        <w:pStyle w:val="Els-keywords"/>
        <w:spacing w:after="120" w:line="240" w:lineRule="auto"/>
        <w:rPr>
          <w:rFonts w:hint="eastAsia"/>
          <w:sz w:val="20"/>
          <w:lang w:eastAsia="zh-CN"/>
        </w:rPr>
      </w:pPr>
      <w:r w:rsidRPr="00C67487">
        <w:rPr>
          <w:sz w:val="20"/>
        </w:rPr>
        <w:t xml:space="preserve">[1] </w:t>
      </w:r>
      <w:bookmarkStart w:id="6" w:name="OLE_LINK181"/>
      <w:r w:rsidRPr="00245A79">
        <w:rPr>
          <w:sz w:val="20"/>
        </w:rPr>
        <w:t>B. Burlingame, A. Moltedo, C. Cafiero, “Global Protein Sustainability and the United Nations, Through to the 2030 Agenda”, Frontiers in Nutrition, Vol. 11, 1383898, 2024.</w:t>
      </w:r>
    </w:p>
    <w:bookmarkEnd w:id="6"/>
    <w:p w14:paraId="2271186B" w14:textId="492DFADC" w:rsidR="00EF72BA" w:rsidRDefault="00EF72BA" w:rsidP="0078067E">
      <w:pPr>
        <w:pStyle w:val="Els-keywords"/>
        <w:spacing w:after="120" w:line="240" w:lineRule="auto"/>
        <w:rPr>
          <w:rFonts w:hint="eastAsia"/>
          <w:sz w:val="20"/>
          <w:lang w:eastAsia="zh-CN"/>
        </w:rPr>
      </w:pPr>
      <w:r>
        <w:rPr>
          <w:rFonts w:hint="eastAsia"/>
          <w:sz w:val="20"/>
          <w:lang w:eastAsia="zh-CN"/>
        </w:rPr>
        <w:t xml:space="preserve">[2] </w:t>
      </w:r>
      <w:r w:rsidR="00A4439E" w:rsidRPr="00A4439E">
        <w:rPr>
          <w:sz w:val="20"/>
          <w:lang w:eastAsia="zh-CN"/>
        </w:rPr>
        <w:t>X. Dong, Y. Wang, X. D. Chen, C. Selomulya, “Designing Protein Gels for Nutrient Delivery: From Formulation to Digestion”, Comprehensive Reviews in Food Science and Food Safety, Vol. 25, e70424, 2026.</w:t>
      </w:r>
    </w:p>
    <w:p w14:paraId="7BC67066" w14:textId="63FAAAA3" w:rsidR="003B0ABD" w:rsidRPr="002537DA" w:rsidRDefault="002A0A1C" w:rsidP="0078067E">
      <w:pPr>
        <w:pStyle w:val="Els-keywords"/>
        <w:spacing w:after="120" w:line="240" w:lineRule="auto"/>
        <w:rPr>
          <w:sz w:val="20"/>
        </w:rPr>
      </w:pPr>
      <w:r w:rsidRPr="00C67487">
        <w:rPr>
          <w:sz w:val="20"/>
        </w:rPr>
        <w:t>[</w:t>
      </w:r>
      <w:r w:rsidR="00EF72BA">
        <w:rPr>
          <w:rFonts w:hint="eastAsia"/>
          <w:sz w:val="20"/>
          <w:lang w:eastAsia="zh-CN"/>
        </w:rPr>
        <w:t>3</w:t>
      </w:r>
      <w:r w:rsidRPr="00C67487">
        <w:rPr>
          <w:sz w:val="20"/>
        </w:rPr>
        <w:t xml:space="preserve">] </w:t>
      </w:r>
      <w:r w:rsidR="00BB58AD" w:rsidRPr="00245A79">
        <w:rPr>
          <w:sz w:val="20"/>
        </w:rPr>
        <w:t>W. Liu, D. J. McClements, Z. Jin, L. Chen, “Design of Colloid Structure to Realize Gel Salt Reduction: A Review”, Critical Reviews in Food Science and Nutrition, Vol. 65, No. 12, pp. 2281</w:t>
      </w:r>
      <w:r w:rsidR="00BB58AD">
        <w:rPr>
          <w:rFonts w:hint="eastAsia"/>
          <w:sz w:val="20"/>
        </w:rPr>
        <w:t>-</w:t>
      </w:r>
      <w:r w:rsidR="00BB58AD" w:rsidRPr="00245A79">
        <w:rPr>
          <w:sz w:val="20"/>
        </w:rPr>
        <w:t>2294, 2025.</w:t>
      </w:r>
      <w:r w:rsidR="0078067E" w:rsidRPr="0078067E">
        <w:rPr>
          <w:sz w:val="20"/>
        </w:rPr>
        <w:t xml:space="preserve"> </w:t>
      </w:r>
    </w:p>
    <w:sectPr w:rsidR="003B0ABD" w:rsidRPr="002537DA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28890" w14:textId="77777777" w:rsidR="004B46CE" w:rsidRDefault="004B46CE" w:rsidP="00431340">
      <w:pPr>
        <w:spacing w:after="0" w:line="240" w:lineRule="auto"/>
      </w:pPr>
      <w:r>
        <w:separator/>
      </w:r>
    </w:p>
  </w:endnote>
  <w:endnote w:type="continuationSeparator" w:id="0">
    <w:p w14:paraId="74983F6E" w14:textId="77777777" w:rsidR="004B46CE" w:rsidRDefault="004B46CE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D9EF3" w14:textId="77777777" w:rsidR="004B46CE" w:rsidRDefault="004B46CE" w:rsidP="00431340">
      <w:pPr>
        <w:spacing w:after="0" w:line="240" w:lineRule="auto"/>
      </w:pPr>
      <w:r>
        <w:separator/>
      </w:r>
    </w:p>
  </w:footnote>
  <w:footnote w:type="continuationSeparator" w:id="0">
    <w:p w14:paraId="5CBFC7CB" w14:textId="77777777" w:rsidR="004B46CE" w:rsidRDefault="004B46CE" w:rsidP="00431340">
      <w:pPr>
        <w:spacing w:after="0" w:line="240" w:lineRule="auto"/>
      </w:pPr>
      <w:r>
        <w:continuationSeparator/>
      </w:r>
    </w:p>
  </w:footnote>
  <w:footnote w:id="1">
    <w:p w14:paraId="1DA89215" w14:textId="43855374" w:rsidR="00673656" w:rsidRPr="00BF77A7" w:rsidRDefault="00673656" w:rsidP="00673656">
      <w:pPr>
        <w:pStyle w:val="Els-footnote"/>
        <w:ind w:firstLine="120"/>
        <w:rPr>
          <w:sz w:val="18"/>
          <w:szCs w:val="18"/>
          <w:lang w:eastAsia="zh-CN"/>
        </w:rPr>
      </w:pPr>
      <w:r w:rsidRPr="00BF77A7">
        <w:rPr>
          <w:sz w:val="18"/>
          <w:szCs w:val="18"/>
        </w:rPr>
        <w:t xml:space="preserve">* </w:t>
      </w:r>
      <w:bookmarkStart w:id="1" w:name="_Hlk211087958"/>
      <w:bookmarkStart w:id="2" w:name="_Hlk211087959"/>
      <w:bookmarkStart w:id="3" w:name="_Hlk211088033"/>
      <w:bookmarkStart w:id="4" w:name="_Hlk211088034"/>
      <w:r w:rsidRPr="00BF77A7">
        <w:rPr>
          <w:sz w:val="18"/>
          <w:szCs w:val="18"/>
        </w:rPr>
        <w:t xml:space="preserve">Corresponding author </w:t>
      </w:r>
      <w:r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1"/>
      <w:bookmarkEnd w:id="2"/>
      <w:bookmarkEnd w:id="3"/>
      <w:bookmarkEnd w:id="4"/>
      <w:r w:rsidR="00EC339F">
        <w:rPr>
          <w:rFonts w:hint="eastAsia"/>
          <w:sz w:val="18"/>
          <w:szCs w:val="18"/>
          <w:lang w:val="nb-NO" w:eastAsia="zh-CN"/>
        </w:rPr>
        <w:t>cordelia.selomulya</w:t>
      </w:r>
      <w:r w:rsidR="004C7508" w:rsidRPr="004C7508">
        <w:rPr>
          <w:sz w:val="18"/>
          <w:szCs w:val="18"/>
          <w:lang w:val="nb-NO"/>
        </w:rPr>
        <w:t>@</w:t>
      </w:r>
      <w:r w:rsidR="00EC339F">
        <w:rPr>
          <w:rFonts w:hint="eastAsia"/>
          <w:sz w:val="18"/>
          <w:szCs w:val="18"/>
          <w:lang w:val="nb-NO" w:eastAsia="zh-CN"/>
        </w:rPr>
        <w:t>unsw</w:t>
      </w:r>
      <w:r w:rsidR="004C7508" w:rsidRPr="004C7508">
        <w:rPr>
          <w:sz w:val="18"/>
          <w:szCs w:val="18"/>
          <w:lang w:val="nb-NO"/>
        </w:rPr>
        <w:t>.</w:t>
      </w:r>
      <w:r w:rsidR="00EC339F">
        <w:rPr>
          <w:rFonts w:hint="eastAsia"/>
          <w:sz w:val="18"/>
          <w:szCs w:val="18"/>
          <w:lang w:val="nb-NO" w:eastAsia="zh-CN"/>
        </w:rPr>
        <w:t>edu</w:t>
      </w:r>
      <w:r w:rsidR="004C7508" w:rsidRPr="004C7508">
        <w:rPr>
          <w:sz w:val="18"/>
          <w:szCs w:val="18"/>
          <w:lang w:val="nb-NO"/>
        </w:rPr>
        <w:t>.</w:t>
      </w:r>
      <w:r w:rsidR="00EC339F">
        <w:rPr>
          <w:rFonts w:hint="eastAsia"/>
          <w:sz w:val="18"/>
          <w:szCs w:val="18"/>
          <w:lang w:val="nb-NO" w:eastAsia="zh-CN"/>
        </w:rPr>
        <w:t>au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011F9"/>
    <w:rsid w:val="00003BE5"/>
    <w:rsid w:val="00004F9F"/>
    <w:rsid w:val="00024782"/>
    <w:rsid w:val="00037063"/>
    <w:rsid w:val="00045026"/>
    <w:rsid w:val="001C51B3"/>
    <w:rsid w:val="00234209"/>
    <w:rsid w:val="002537DA"/>
    <w:rsid w:val="0025530E"/>
    <w:rsid w:val="002A0A1C"/>
    <w:rsid w:val="002A2B3C"/>
    <w:rsid w:val="00372579"/>
    <w:rsid w:val="003B0ABD"/>
    <w:rsid w:val="003C2BB7"/>
    <w:rsid w:val="00431340"/>
    <w:rsid w:val="0045412D"/>
    <w:rsid w:val="004B46CE"/>
    <w:rsid w:val="004B7E87"/>
    <w:rsid w:val="004C5367"/>
    <w:rsid w:val="004C7508"/>
    <w:rsid w:val="004D1125"/>
    <w:rsid w:val="00500F23"/>
    <w:rsid w:val="00505265"/>
    <w:rsid w:val="00576212"/>
    <w:rsid w:val="0059506C"/>
    <w:rsid w:val="005B77D8"/>
    <w:rsid w:val="00646E7D"/>
    <w:rsid w:val="00654033"/>
    <w:rsid w:val="00660F1E"/>
    <w:rsid w:val="00665C88"/>
    <w:rsid w:val="00673656"/>
    <w:rsid w:val="006D3652"/>
    <w:rsid w:val="0070599D"/>
    <w:rsid w:val="007679DD"/>
    <w:rsid w:val="00772B06"/>
    <w:rsid w:val="007752C7"/>
    <w:rsid w:val="0078067E"/>
    <w:rsid w:val="00781D43"/>
    <w:rsid w:val="00827794"/>
    <w:rsid w:val="0084347F"/>
    <w:rsid w:val="008B05C6"/>
    <w:rsid w:val="008E273A"/>
    <w:rsid w:val="008E6985"/>
    <w:rsid w:val="00957A6C"/>
    <w:rsid w:val="009C71BA"/>
    <w:rsid w:val="00A4439E"/>
    <w:rsid w:val="00A44472"/>
    <w:rsid w:val="00B51F29"/>
    <w:rsid w:val="00BB58AD"/>
    <w:rsid w:val="00BE265A"/>
    <w:rsid w:val="00BF77A7"/>
    <w:rsid w:val="00C17F75"/>
    <w:rsid w:val="00C4261A"/>
    <w:rsid w:val="00C4616B"/>
    <w:rsid w:val="00C67487"/>
    <w:rsid w:val="00C97B50"/>
    <w:rsid w:val="00CC179B"/>
    <w:rsid w:val="00D10E69"/>
    <w:rsid w:val="00D45C75"/>
    <w:rsid w:val="00D753D4"/>
    <w:rsid w:val="00DD4FF9"/>
    <w:rsid w:val="00DF3D9F"/>
    <w:rsid w:val="00E93DEA"/>
    <w:rsid w:val="00EC339F"/>
    <w:rsid w:val="00EE1161"/>
    <w:rsid w:val="00EF72BA"/>
    <w:rsid w:val="00F551D9"/>
    <w:rsid w:val="00F55548"/>
    <w:rsid w:val="00FA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2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Xue Dong</cp:lastModifiedBy>
  <cp:revision>35</cp:revision>
  <dcterms:created xsi:type="dcterms:W3CDTF">2026-02-04T06:37:00Z</dcterms:created>
  <dcterms:modified xsi:type="dcterms:W3CDTF">2026-04-07T12:44:00Z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