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1C9F51FC" w14:textId="77777777" w:rsidR="00AF4336" w:rsidRPr="00AF4336" w:rsidRDefault="00AF4336" w:rsidP="00AF4336">
      <w:pPr>
        <w:pStyle w:val="Els-Author"/>
        <w:ind w:right="2"/>
        <w:rPr>
          <w:noProof w:val="0"/>
          <w:sz w:val="32"/>
          <w:szCs w:val="32"/>
        </w:rPr>
      </w:pPr>
      <w:r w:rsidRPr="00AF4336">
        <w:rPr>
          <w:noProof w:val="0"/>
          <w:sz w:val="32"/>
          <w:szCs w:val="32"/>
        </w:rPr>
        <w:t>Trade-offs between receptor modification and fitness</w:t>
      </w:r>
    </w:p>
    <w:p w14:paraId="2718FD33" w14:textId="77777777" w:rsidR="00AF4336" w:rsidRPr="00AF4336" w:rsidRDefault="00AF4336" w:rsidP="00AF4336">
      <w:pPr>
        <w:pStyle w:val="Els-Author"/>
        <w:ind w:right="2"/>
        <w:rPr>
          <w:noProof w:val="0"/>
          <w:sz w:val="32"/>
          <w:szCs w:val="32"/>
        </w:rPr>
      </w:pPr>
      <w:r w:rsidRPr="00AF4336">
        <w:rPr>
          <w:noProof w:val="0"/>
          <w:sz w:val="32"/>
          <w:szCs w:val="32"/>
        </w:rPr>
        <w:t>drive host-bacteriophage co-evolution leading to phage</w:t>
      </w:r>
    </w:p>
    <w:p w14:paraId="18E9A3D9" w14:textId="77777777" w:rsidR="00AF4336" w:rsidRDefault="00AF4336" w:rsidP="00AF4336">
      <w:pPr>
        <w:pStyle w:val="Els-Author"/>
        <w:ind w:right="2"/>
        <w:rPr>
          <w:noProof w:val="0"/>
          <w:sz w:val="32"/>
          <w:szCs w:val="32"/>
        </w:rPr>
      </w:pPr>
      <w:r w:rsidRPr="00AF4336">
        <w:rPr>
          <w:noProof w:val="0"/>
          <w:sz w:val="32"/>
          <w:szCs w:val="32"/>
        </w:rPr>
        <w:t>extinction or co-existence</w:t>
      </w:r>
    </w:p>
    <w:p w14:paraId="5E774EED" w14:textId="639CFED9" w:rsidR="00673656" w:rsidRPr="009C71BA" w:rsidRDefault="00AF4336" w:rsidP="00AF4336">
      <w:pPr>
        <w:pStyle w:val="Els-Author"/>
        <w:ind w:right="2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nb-NO" w:eastAsia="zh-CN"/>
        </w:rPr>
        <w:t>Lin Chen</w:t>
      </w:r>
      <w:r w:rsidRPr="00AF4336">
        <w:rPr>
          <w:rFonts w:hint="eastAsia"/>
          <w:sz w:val="24"/>
          <w:szCs w:val="24"/>
          <w:vertAlign w:val="superscript"/>
          <w:lang w:val="nb-NO" w:eastAsia="zh-CN"/>
        </w:rPr>
        <w:t>a</w:t>
      </w:r>
      <w:r>
        <w:rPr>
          <w:rFonts w:hint="eastAsia"/>
          <w:sz w:val="24"/>
          <w:szCs w:val="24"/>
          <w:vertAlign w:val="superscript"/>
          <w:lang w:val="nb-NO" w:eastAsia="zh-CN"/>
        </w:rPr>
        <w:t>,b,</w:t>
      </w:r>
      <w:r w:rsidRPr="00AF4336">
        <w:rPr>
          <w:rFonts w:hint="eastAsia"/>
          <w:sz w:val="24"/>
          <w:szCs w:val="24"/>
          <w:vertAlign w:val="superscript"/>
          <w:lang w:val="nb-NO" w:eastAsia="zh-CN"/>
        </w:rPr>
        <w:t>*</w:t>
      </w:r>
    </w:p>
    <w:p w14:paraId="5342D5C1" w14:textId="221BB0DE" w:rsidR="00673656" w:rsidRPr="00673656" w:rsidRDefault="00673656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2CE03F" w14:textId="6A623932" w:rsidR="00431340" w:rsidRPr="00234209" w:rsidRDefault="004C7508" w:rsidP="00234209">
      <w:pPr>
        <w:pStyle w:val="Els-Affiliation"/>
        <w:rPr>
          <w:iCs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AF4336" w:rsidRPr="00AF4336">
        <w:rPr>
          <w:lang w:val="nb-NO"/>
        </w:rPr>
        <w:t>School of Chemistry, Chemical Engineering and Biotechnology, Nanyang Technological University, 62 Nanyang Drive, Singapore 637459, Singapore</w:t>
      </w:r>
    </w:p>
    <w:p w14:paraId="05A3C6FA" w14:textId="5F348BFE" w:rsidR="00431340" w:rsidRDefault="00234209" w:rsidP="00431340">
      <w:pPr>
        <w:pStyle w:val="Els-Affiliation"/>
        <w:spacing w:after="400"/>
        <w:rPr>
          <w:lang w:eastAsia="zh-CN"/>
        </w:rPr>
      </w:pPr>
      <w:r w:rsidRPr="00234209">
        <w:rPr>
          <w:vertAlign w:val="superscript"/>
          <w:lang w:val="nb-NO"/>
        </w:rPr>
        <w:t>b</w:t>
      </w:r>
      <w:r w:rsidRPr="00234209">
        <w:rPr>
          <w:lang w:val="nb-NO"/>
        </w:rPr>
        <w:t xml:space="preserve"> </w:t>
      </w:r>
      <w:r w:rsidR="00AF4336" w:rsidRPr="00AF4336">
        <w:rPr>
          <w:lang w:val="nb-NO"/>
        </w:rPr>
        <w:t>Future Ready Food Safety Hub, Nanyang Technological University, Singapore 639798, Singapore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4D419C71" w14:textId="0CB3B185" w:rsidR="00AF4336" w:rsidRDefault="00AF4336" w:rsidP="00177305">
      <w:pPr>
        <w:pStyle w:val="Els-keywords"/>
        <w:spacing w:after="120" w:line="240" w:lineRule="auto"/>
        <w:jc w:val="both"/>
        <w:rPr>
          <w:rFonts w:eastAsiaTheme="minorHAnsi"/>
          <w:noProof w:val="0"/>
          <w:sz w:val="20"/>
          <w:lang w:eastAsia="zh-CN"/>
        </w:rPr>
      </w:pPr>
      <w:r w:rsidRPr="00AF4336">
        <w:rPr>
          <w:rFonts w:eastAsiaTheme="minorHAnsi"/>
          <w:noProof w:val="0"/>
          <w:sz w:val="20"/>
          <w:lang w:eastAsia="zh-CN"/>
        </w:rPr>
        <w:t>Bacteriophages are increasingly explored as biocontrol agents in food systems</w:t>
      </w:r>
      <w:r>
        <w:rPr>
          <w:rFonts w:eastAsiaTheme="minorEastAsia" w:hint="eastAsia"/>
          <w:noProof w:val="0"/>
          <w:sz w:val="20"/>
          <w:lang w:eastAsia="zh-CN"/>
        </w:rPr>
        <w:t>.</w:t>
      </w:r>
      <w:r w:rsidRPr="00AF4336">
        <w:rPr>
          <w:rFonts w:eastAsiaTheme="minorEastAsia" w:hint="eastAsia"/>
          <w:noProof w:val="0"/>
          <w:sz w:val="20"/>
          <w:vertAlign w:val="superscript"/>
          <w:lang w:eastAsia="zh-CN"/>
        </w:rPr>
        <w:t>[1]</w:t>
      </w:r>
      <w:r w:rsidRPr="00AF4336">
        <w:rPr>
          <w:rFonts w:eastAsiaTheme="minorHAnsi"/>
          <w:noProof w:val="0"/>
          <w:sz w:val="20"/>
          <w:vertAlign w:val="superscript"/>
          <w:lang w:eastAsia="zh-CN"/>
        </w:rPr>
        <w:t xml:space="preserve"> </w:t>
      </w:r>
      <w:r w:rsidRPr="00AF4336">
        <w:rPr>
          <w:rFonts w:eastAsiaTheme="minorHAnsi"/>
          <w:noProof w:val="0"/>
          <w:sz w:val="20"/>
          <w:lang w:eastAsia="zh-CN"/>
        </w:rPr>
        <w:t>However</w:t>
      </w:r>
      <w:r w:rsidRPr="00AF4336">
        <w:rPr>
          <w:rFonts w:eastAsiaTheme="minorHAnsi"/>
          <w:noProof w:val="0"/>
          <w:sz w:val="20"/>
          <w:lang w:eastAsia="zh-CN"/>
        </w:rPr>
        <w:t>, their long-term effectiveness is often limited by rapid host</w:t>
      </w:r>
      <w:r>
        <w:rPr>
          <w:rFonts w:eastAsiaTheme="minorEastAsia" w:hint="eastAsia"/>
          <w:noProof w:val="0"/>
          <w:sz w:val="20"/>
          <w:lang w:eastAsia="zh-CN"/>
        </w:rPr>
        <w:t>-</w:t>
      </w:r>
      <w:r w:rsidRPr="00AF4336">
        <w:rPr>
          <w:rFonts w:eastAsiaTheme="minorHAnsi"/>
          <w:noProof w:val="0"/>
          <w:sz w:val="20"/>
          <w:lang w:eastAsia="zh-CN"/>
        </w:rPr>
        <w:t>phage co-evolution and the emergence of bacterial resistance.</w:t>
      </w:r>
      <w:r w:rsidRPr="00AF4336">
        <w:rPr>
          <w:rFonts w:eastAsiaTheme="minorEastAsia" w:hint="eastAsia"/>
          <w:noProof w:val="0"/>
          <w:sz w:val="20"/>
          <w:vertAlign w:val="superscript"/>
          <w:lang w:eastAsia="zh-CN"/>
        </w:rPr>
        <w:t>[2]</w:t>
      </w:r>
      <w:r w:rsidRPr="00AF4336">
        <w:rPr>
          <w:rFonts w:eastAsiaTheme="minorHAnsi"/>
          <w:noProof w:val="0"/>
          <w:sz w:val="20"/>
          <w:vertAlign w:val="superscript"/>
          <w:lang w:eastAsia="zh-CN"/>
        </w:rPr>
        <w:t xml:space="preserve"> </w:t>
      </w:r>
      <w:r w:rsidRPr="00AF4336">
        <w:rPr>
          <w:rFonts w:eastAsiaTheme="minorHAnsi"/>
          <w:noProof w:val="0"/>
          <w:sz w:val="20"/>
          <w:lang w:eastAsia="zh-CN"/>
        </w:rPr>
        <w:t xml:space="preserve">In this study, we co-evolved </w:t>
      </w:r>
      <w:r w:rsidRPr="00AF4336">
        <w:rPr>
          <w:rFonts w:eastAsiaTheme="minorHAnsi"/>
          <w:i/>
          <w:iCs/>
          <w:noProof w:val="0"/>
          <w:sz w:val="20"/>
          <w:lang w:eastAsia="zh-CN"/>
        </w:rPr>
        <w:t>Salmonella</w:t>
      </w:r>
      <w:r w:rsidRPr="00AF4336">
        <w:rPr>
          <w:rFonts w:eastAsiaTheme="minorHAnsi"/>
          <w:noProof w:val="0"/>
          <w:sz w:val="20"/>
          <w:lang w:eastAsia="zh-CN"/>
        </w:rPr>
        <w:t xml:space="preserve"> with lytic phage SF1 over 30 days to systematically investigate how resistance development shapes co-evolutionary dynamics and outcomes. Evolved bacterial populations exhibited heterogeneous resistance phenotypes, including sensitivity, partial resistance, and complete resistance, with resistance strength showing a strong correlation with reduced phage adsorption, indicating that receptor modification is a dominant mechanism. Importantly, resistance evolution was accompanied by distinct fitness trade-offs that varied depending on the underlying genetic pathway. Genomic analysis identified two major classes of resistance mutations: key mutations, such as disruptions in </w:t>
      </w:r>
      <w:proofErr w:type="spellStart"/>
      <w:r w:rsidRPr="00AF4336">
        <w:rPr>
          <w:rFonts w:eastAsiaTheme="minorHAnsi"/>
          <w:noProof w:val="0"/>
          <w:sz w:val="20"/>
          <w:lang w:eastAsia="zh-CN"/>
        </w:rPr>
        <w:t>rfb</w:t>
      </w:r>
      <w:proofErr w:type="spellEnd"/>
      <w:r w:rsidRPr="00AF4336">
        <w:rPr>
          <w:rFonts w:eastAsiaTheme="minorHAnsi"/>
          <w:noProof w:val="0"/>
          <w:sz w:val="20"/>
          <w:lang w:eastAsia="zh-CN"/>
        </w:rPr>
        <w:t xml:space="preserve">-regulated O-antigen biosynthesis, which led to loss of phage receptors and conferred strong resistance with relatively low fitness cost, and secondary mutations affecting less critical cellular processes, including </w:t>
      </w:r>
      <w:proofErr w:type="spellStart"/>
      <w:r w:rsidRPr="00AF4336">
        <w:rPr>
          <w:rFonts w:eastAsiaTheme="minorHAnsi"/>
          <w:noProof w:val="0"/>
          <w:sz w:val="20"/>
          <w:lang w:eastAsia="zh-CN"/>
        </w:rPr>
        <w:t>fimbrial</w:t>
      </w:r>
      <w:proofErr w:type="spellEnd"/>
      <w:r w:rsidRPr="00AF4336">
        <w:rPr>
          <w:rFonts w:eastAsiaTheme="minorHAnsi"/>
          <w:noProof w:val="0"/>
          <w:sz w:val="20"/>
          <w:lang w:eastAsia="zh-CN"/>
        </w:rPr>
        <w:t xml:space="preserve"> synthesis and tRNA modification, which resulted in partial resistance but imposed higher fitness costs. These contrasting resistance strategies generated distinct evolutionary trajectories within bacterial populations. We found that co-evolutionary outcomes were jointly determined by two key factors</w:t>
      </w:r>
      <w:r>
        <w:rPr>
          <w:rFonts w:eastAsiaTheme="minorEastAsia" w:hint="eastAsia"/>
          <w:noProof w:val="0"/>
          <w:sz w:val="20"/>
          <w:lang w:eastAsia="zh-CN"/>
        </w:rPr>
        <w:t xml:space="preserve">: </w:t>
      </w:r>
      <w:r w:rsidRPr="00AF4336">
        <w:rPr>
          <w:rFonts w:eastAsiaTheme="minorHAnsi"/>
          <w:noProof w:val="0"/>
          <w:sz w:val="20"/>
          <w:lang w:eastAsia="zh-CN"/>
        </w:rPr>
        <w:t>resistance strength and associated fitness cost. High-frequency, low-cost resistance enabled resistant populations to rapidly dominate and eliminate phages, leading to phage extinction, whereas higher-cost or incomplete resistance maintained a balance between host and phage, resulting in dynamic co-existence. These findings demonstrate that evolutionary trade-offs in bacterial resistance are central to shaping host</w:t>
      </w:r>
      <w:r>
        <w:rPr>
          <w:rFonts w:eastAsiaTheme="minorEastAsia" w:hint="eastAsia"/>
          <w:noProof w:val="0"/>
          <w:sz w:val="20"/>
          <w:lang w:eastAsia="zh-CN"/>
        </w:rPr>
        <w:t>-</w:t>
      </w:r>
      <w:r w:rsidRPr="00AF4336">
        <w:rPr>
          <w:rFonts w:eastAsiaTheme="minorHAnsi"/>
          <w:noProof w:val="0"/>
          <w:sz w:val="20"/>
          <w:lang w:eastAsia="zh-CN"/>
        </w:rPr>
        <w:t>phage population dynamics and highlight that the balance between resistance efficiency and fitness cost, rather than resistance alone, determines long-term outcomes. From a food microbiology perspective, this work provides important insights into optimizing phage-based biocontrol strategies, suggesting that steering evolutionary pathways toward higher-cost or incomplete resistance may help sustain phage efficacy and reduce resistance-driven failure in food safety applications.</w:t>
      </w:r>
    </w:p>
    <w:p w14:paraId="2BEC964E" w14:textId="77777777" w:rsidR="00AF4336" w:rsidRDefault="00AF4336" w:rsidP="00177305">
      <w:pPr>
        <w:pStyle w:val="Els-keywords"/>
        <w:spacing w:after="120" w:line="240" w:lineRule="auto"/>
        <w:jc w:val="both"/>
        <w:rPr>
          <w:rFonts w:eastAsiaTheme="minorEastAsia"/>
          <w:noProof w:val="0"/>
          <w:sz w:val="20"/>
          <w:lang w:eastAsia="zh-CN"/>
        </w:rPr>
      </w:pPr>
    </w:p>
    <w:p w14:paraId="0AE07FD0" w14:textId="3C3081B3" w:rsidR="002A0A1C" w:rsidRPr="00C67487" w:rsidRDefault="002A0A1C" w:rsidP="00177305">
      <w:pPr>
        <w:pStyle w:val="Els-keywords"/>
        <w:spacing w:after="120" w:line="240" w:lineRule="auto"/>
        <w:jc w:val="both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6911FF96" w14:textId="28F721A7" w:rsidR="00665C88" w:rsidRPr="00665C88" w:rsidRDefault="002A0A1C" w:rsidP="00177305">
      <w:pPr>
        <w:pStyle w:val="Els-keywords"/>
        <w:spacing w:after="120" w:line="240" w:lineRule="auto"/>
        <w:jc w:val="both"/>
        <w:rPr>
          <w:sz w:val="20"/>
        </w:rPr>
      </w:pPr>
      <w:r w:rsidRPr="00C67487">
        <w:rPr>
          <w:sz w:val="20"/>
        </w:rPr>
        <w:t xml:space="preserve">[1] </w:t>
      </w:r>
      <w:r w:rsidR="00AF4336" w:rsidRPr="00AF4336">
        <w:rPr>
          <w:sz w:val="20"/>
        </w:rPr>
        <w:t>Chen, L., Zhao, X., Chantapakul, B., &amp; Wang, S. (2025). Resistance development and transcriptional responses of Salmonella Enterica strains to bacteriophage SF1 treatment on Arabidopsis thaliana. Food Microbiology, 131, 104809.</w:t>
      </w:r>
    </w:p>
    <w:p w14:paraId="7BC67066" w14:textId="53137D50" w:rsidR="003B0ABD" w:rsidRPr="002537DA" w:rsidRDefault="002A0A1C" w:rsidP="00177305">
      <w:pPr>
        <w:pStyle w:val="Els-keywords"/>
        <w:spacing w:after="120" w:line="240" w:lineRule="auto"/>
        <w:jc w:val="both"/>
        <w:rPr>
          <w:sz w:val="20"/>
        </w:rPr>
      </w:pPr>
      <w:r w:rsidRPr="00C67487">
        <w:rPr>
          <w:sz w:val="20"/>
        </w:rPr>
        <w:t xml:space="preserve">[2] </w:t>
      </w:r>
      <w:r w:rsidR="00AF4336" w:rsidRPr="00AF4336">
        <w:rPr>
          <w:sz w:val="20"/>
          <w:lang w:val="nb-NO"/>
        </w:rPr>
        <w:t>Chen, L., Zhao, X., Wongso, S., Lin, Z., &amp; Wang, S. (2024). Trade-offs between receptor modification and fitness drive host-bacteriophage co-evolution leading to phage extinction or co-existence. </w:t>
      </w:r>
      <w:r w:rsidR="00AF4336" w:rsidRPr="00AF4336">
        <w:rPr>
          <w:i/>
          <w:iCs/>
          <w:sz w:val="20"/>
          <w:lang w:val="nb-NO"/>
        </w:rPr>
        <w:t>The ISME Journal</w:t>
      </w:r>
      <w:r w:rsidR="00AF4336" w:rsidRPr="00AF4336">
        <w:rPr>
          <w:sz w:val="20"/>
          <w:lang w:val="nb-NO"/>
        </w:rPr>
        <w:t>, </w:t>
      </w:r>
      <w:r w:rsidR="00AF4336" w:rsidRPr="00AF4336">
        <w:rPr>
          <w:i/>
          <w:iCs/>
          <w:sz w:val="20"/>
          <w:lang w:val="nb-NO"/>
        </w:rPr>
        <w:t>18</w:t>
      </w:r>
      <w:r w:rsidR="00AF4336" w:rsidRPr="00AF4336">
        <w:rPr>
          <w:sz w:val="20"/>
          <w:lang w:val="nb-NO"/>
        </w:rPr>
        <w:t>(1), wrae214.</w:t>
      </w: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BFFC3" w14:textId="77777777" w:rsidR="0074038B" w:rsidRDefault="0074038B" w:rsidP="00431340">
      <w:pPr>
        <w:spacing w:after="0" w:line="240" w:lineRule="auto"/>
      </w:pPr>
      <w:r>
        <w:separator/>
      </w:r>
    </w:p>
  </w:endnote>
  <w:endnote w:type="continuationSeparator" w:id="0">
    <w:p w14:paraId="02E7DFE2" w14:textId="77777777" w:rsidR="0074038B" w:rsidRDefault="0074038B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A97C2" w14:textId="77777777" w:rsidR="0074038B" w:rsidRDefault="0074038B" w:rsidP="00431340">
      <w:pPr>
        <w:spacing w:after="0" w:line="240" w:lineRule="auto"/>
      </w:pPr>
      <w:r>
        <w:separator/>
      </w:r>
    </w:p>
  </w:footnote>
  <w:footnote w:type="continuationSeparator" w:id="0">
    <w:p w14:paraId="7355442D" w14:textId="77777777" w:rsidR="0074038B" w:rsidRDefault="0074038B" w:rsidP="00431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177305"/>
    <w:rsid w:val="001C51B3"/>
    <w:rsid w:val="00234209"/>
    <w:rsid w:val="002537DA"/>
    <w:rsid w:val="002A0A1C"/>
    <w:rsid w:val="002A2B3C"/>
    <w:rsid w:val="00372579"/>
    <w:rsid w:val="003B0ABD"/>
    <w:rsid w:val="00431340"/>
    <w:rsid w:val="004B7E87"/>
    <w:rsid w:val="004C7508"/>
    <w:rsid w:val="004D1125"/>
    <w:rsid w:val="0059506C"/>
    <w:rsid w:val="005B77D8"/>
    <w:rsid w:val="00646E7D"/>
    <w:rsid w:val="00654033"/>
    <w:rsid w:val="00665C88"/>
    <w:rsid w:val="00673656"/>
    <w:rsid w:val="006D3652"/>
    <w:rsid w:val="0070599D"/>
    <w:rsid w:val="0074038B"/>
    <w:rsid w:val="007679DD"/>
    <w:rsid w:val="00772B06"/>
    <w:rsid w:val="007752C7"/>
    <w:rsid w:val="0078067E"/>
    <w:rsid w:val="00781D43"/>
    <w:rsid w:val="00827794"/>
    <w:rsid w:val="009C71BA"/>
    <w:rsid w:val="00AC7177"/>
    <w:rsid w:val="00AF4336"/>
    <w:rsid w:val="00BE265A"/>
    <w:rsid w:val="00BF77A7"/>
    <w:rsid w:val="00C17F75"/>
    <w:rsid w:val="00C4616B"/>
    <w:rsid w:val="00C67487"/>
    <w:rsid w:val="00CC179B"/>
    <w:rsid w:val="00D10E69"/>
    <w:rsid w:val="00D753D4"/>
    <w:rsid w:val="00DD4FF9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Dr Lin CHEN (Asst Prof)</cp:lastModifiedBy>
  <cp:revision>5</cp:revision>
  <dcterms:created xsi:type="dcterms:W3CDTF">2026-02-04T06:37:00Z</dcterms:created>
  <dcterms:modified xsi:type="dcterms:W3CDTF">2026-04-08T04:48:00Z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