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2CFBD3FA" w14:textId="77777777" w:rsidR="0088663F" w:rsidRDefault="0088663F" w:rsidP="00673656">
      <w:pPr>
        <w:pStyle w:val="Els-Author"/>
        <w:ind w:right="2"/>
        <w:rPr>
          <w:noProof w:val="0"/>
          <w:sz w:val="32"/>
          <w:szCs w:val="32"/>
        </w:rPr>
      </w:pPr>
      <w:r w:rsidRPr="0088663F">
        <w:rPr>
          <w:noProof w:val="0"/>
          <w:sz w:val="32"/>
          <w:szCs w:val="32"/>
        </w:rPr>
        <w:t>The Role of Mastication in Shaping Mood and Cognitive Performance</w:t>
      </w:r>
    </w:p>
    <w:p w14:paraId="7CC8FD69" w14:textId="2E25643C" w:rsidR="0088663F" w:rsidRPr="0088663F" w:rsidRDefault="0088663F" w:rsidP="0088663F">
      <w:pPr>
        <w:spacing w:after="60" w:line="276" w:lineRule="auto"/>
        <w:jc w:val="center"/>
        <w:rPr>
          <w:rFonts w:ascii="Times New Roman" w:hAnsi="Times New Roman"/>
          <w:sz w:val="24"/>
          <w:szCs w:val="24"/>
          <w:vertAlign w:val="superscript"/>
          <w:lang w:val="en-US" w:eastAsia="zh-CN"/>
        </w:rPr>
      </w:pPr>
      <w:r w:rsidRPr="0088663F">
        <w:rPr>
          <w:rFonts w:ascii="Times New Roman" w:hAnsi="Times New Roman"/>
          <w:bCs/>
          <w:sz w:val="24"/>
          <w:szCs w:val="24"/>
          <w:lang w:val="en-US" w:eastAsia="zh-CN"/>
        </w:rPr>
        <w:t>Yinying</w:t>
      </w:r>
      <w:r w:rsidRPr="0088663F">
        <w:rPr>
          <w:rFonts w:ascii="Times New Roman" w:hAnsi="Times New Roman"/>
          <w:bCs/>
          <w:sz w:val="24"/>
          <w:szCs w:val="24"/>
          <w:lang w:val="en-US"/>
        </w:rPr>
        <w:t xml:space="preserve">, Liu </w:t>
      </w:r>
      <w:r w:rsidRPr="0088663F">
        <w:rPr>
          <w:rFonts w:ascii="Times New Roman" w:hAnsi="Times New Roman"/>
          <w:sz w:val="24"/>
          <w:szCs w:val="24"/>
          <w:vertAlign w:val="superscript"/>
          <w:lang w:val="en-US"/>
        </w:rPr>
        <w:t>1,2</w:t>
      </w:r>
      <w:r w:rsidRPr="0088663F">
        <w:rPr>
          <w:rFonts w:ascii="Times New Roman" w:hAnsi="Times New Roman"/>
          <w:bCs/>
          <w:sz w:val="24"/>
          <w:szCs w:val="24"/>
          <w:lang w:val="en-US"/>
        </w:rPr>
        <w:t xml:space="preserve">; </w:t>
      </w:r>
      <w:proofErr w:type="spellStart"/>
      <w:r w:rsidRPr="0088663F">
        <w:rPr>
          <w:rFonts w:ascii="Times New Roman" w:hAnsi="Times New Roman"/>
          <w:bCs/>
          <w:sz w:val="24"/>
          <w:szCs w:val="24"/>
          <w:lang w:val="en-US"/>
        </w:rPr>
        <w:t>Jianshe</w:t>
      </w:r>
      <w:proofErr w:type="spellEnd"/>
      <w:r w:rsidRPr="0088663F">
        <w:rPr>
          <w:rFonts w:ascii="Times New Roman" w:hAnsi="Times New Roman"/>
          <w:bCs/>
          <w:sz w:val="24"/>
          <w:szCs w:val="24"/>
          <w:lang w:val="en-US"/>
        </w:rPr>
        <w:t>, Chen</w:t>
      </w:r>
      <w:r w:rsidRPr="0088663F">
        <w:rPr>
          <w:rFonts w:ascii="Times New Roman" w:hAnsi="Times New Roman"/>
          <w:bCs/>
          <w:sz w:val="24"/>
          <w:szCs w:val="24"/>
          <w:lang w:val="en-US" w:eastAsia="zh-CN"/>
        </w:rPr>
        <w:t xml:space="preserve"> </w:t>
      </w:r>
      <w:r w:rsidRPr="0088663F">
        <w:rPr>
          <w:rFonts w:ascii="Times New Roman" w:hAnsi="Times New Roman"/>
          <w:sz w:val="24"/>
          <w:szCs w:val="24"/>
          <w:vertAlign w:val="superscript"/>
          <w:lang w:val="en-US"/>
        </w:rPr>
        <w:t>2</w:t>
      </w:r>
      <w:r w:rsidRPr="0088663F">
        <w:rPr>
          <w:rFonts w:ascii="Times New Roman" w:hAnsi="Times New Roman"/>
          <w:sz w:val="24"/>
          <w:szCs w:val="24"/>
          <w:lang w:val="en-US" w:eastAsia="zh-CN"/>
        </w:rPr>
        <w:t>;</w:t>
      </w:r>
      <w:r w:rsidRPr="0088663F">
        <w:rPr>
          <w:rFonts w:ascii="Times New Roman" w:hAnsi="Times New Roman"/>
          <w:bCs/>
          <w:sz w:val="24"/>
          <w:szCs w:val="24"/>
          <w:lang w:val="en-US"/>
        </w:rPr>
        <w:t xml:space="preserve"> </w:t>
      </w:r>
      <w:proofErr w:type="spellStart"/>
      <w:r w:rsidRPr="0088663F">
        <w:rPr>
          <w:rFonts w:ascii="Times New Roman" w:hAnsi="Times New Roman"/>
          <w:bCs/>
          <w:sz w:val="24"/>
          <w:szCs w:val="24"/>
          <w:lang w:val="en-US"/>
        </w:rPr>
        <w:t>Weibiao</w:t>
      </w:r>
      <w:proofErr w:type="spellEnd"/>
      <w:r w:rsidRPr="0088663F">
        <w:rPr>
          <w:rFonts w:ascii="Times New Roman" w:hAnsi="Times New Roman"/>
          <w:bCs/>
          <w:sz w:val="24"/>
          <w:szCs w:val="24"/>
          <w:lang w:val="en-US"/>
        </w:rPr>
        <w:t>, Zhou</w:t>
      </w:r>
      <w:r w:rsidRPr="0088663F">
        <w:rPr>
          <w:rFonts w:ascii="Times New Roman" w:hAnsi="Times New Roman"/>
          <w:bCs/>
          <w:sz w:val="24"/>
          <w:szCs w:val="24"/>
          <w:lang w:val="en-US" w:eastAsia="zh-CN"/>
        </w:rPr>
        <w:t xml:space="preserve">, </w:t>
      </w:r>
      <w:r w:rsidRPr="0088663F">
        <w:rPr>
          <w:rFonts w:ascii="Times New Roman" w:hAnsi="Times New Roman"/>
          <w:sz w:val="24"/>
          <w:szCs w:val="24"/>
          <w:vertAlign w:val="superscript"/>
          <w:lang w:val="en-US"/>
        </w:rPr>
        <w:t>1</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4010840B" w14:textId="229CC772" w:rsidR="00E46F7D" w:rsidRDefault="004C7508" w:rsidP="00E46F7D">
      <w:pPr>
        <w:pStyle w:val="Els-Affiliation"/>
        <w:rPr>
          <w:lang w:val="nb-NO"/>
        </w:rPr>
      </w:pPr>
      <w:r>
        <w:rPr>
          <w:vertAlign w:val="superscript"/>
          <w:lang w:val="nb-NO"/>
        </w:rPr>
        <w:t>a</w:t>
      </w:r>
      <w:r w:rsidRPr="00234209">
        <w:rPr>
          <w:lang w:val="nb-NO"/>
        </w:rPr>
        <w:t xml:space="preserve"> </w:t>
      </w:r>
      <w:r w:rsidR="00E46F7D" w:rsidRPr="00E46F7D">
        <w:rPr>
          <w:lang w:val="nb-NO"/>
        </w:rPr>
        <w:t>Department of Food Science and Technology, National University of Singapore, 2 Science Drive 2, Singapore</w:t>
      </w:r>
      <w:r w:rsidR="00E46F7D">
        <w:rPr>
          <w:lang w:val="nb-NO"/>
        </w:rPr>
        <w:t xml:space="preserve"> 117543</w:t>
      </w:r>
    </w:p>
    <w:p w14:paraId="05A3C6FA" w14:textId="6EEBF372" w:rsidR="00431340" w:rsidRDefault="00234209" w:rsidP="00E46F7D">
      <w:pPr>
        <w:pStyle w:val="Els-Affiliation"/>
        <w:rPr>
          <w:lang w:eastAsia="zh-CN"/>
        </w:rPr>
      </w:pPr>
      <w:r w:rsidRPr="00234209">
        <w:rPr>
          <w:vertAlign w:val="superscript"/>
          <w:lang w:val="nb-NO"/>
        </w:rPr>
        <w:t>b</w:t>
      </w:r>
      <w:r w:rsidRPr="00234209">
        <w:rPr>
          <w:lang w:val="nb-NO"/>
        </w:rPr>
        <w:t xml:space="preserve"> </w:t>
      </w:r>
      <w:r w:rsidR="00E46F7D" w:rsidRPr="00E46F7D">
        <w:rPr>
          <w:lang w:val="nb-NO"/>
        </w:rPr>
        <w:t>Singapore Institute of Food and Biotechnology Innovation (SIFBI), Agency for Science, Technology and Research (A</w:t>
      </w:r>
      <w:r w:rsidR="00E46F7D" w:rsidRPr="00E46F7D">
        <w:rPr>
          <w:rFonts w:ascii="Cambria Math" w:hAnsi="Cambria Math" w:cs="Cambria Math"/>
          <w:lang w:val="nb-NO"/>
        </w:rPr>
        <w:t>∗</w:t>
      </w:r>
      <w:r w:rsidR="00E46F7D" w:rsidRPr="00E46F7D">
        <w:rPr>
          <w:lang w:val="nb-NO"/>
        </w:rPr>
        <w:t>STAR), 31 Biopolis Way, #04-01 Nanos,</w:t>
      </w:r>
      <w:r w:rsidR="00E46F7D">
        <w:rPr>
          <w:lang w:val="nb-NO"/>
        </w:rPr>
        <w:t xml:space="preserve"> </w:t>
      </w:r>
      <w:r w:rsidR="00E46F7D" w:rsidRPr="00E46F7D">
        <w:rPr>
          <w:lang w:val="nb-NO"/>
        </w:rPr>
        <w:t xml:space="preserve">Singapore </w:t>
      </w:r>
      <w:r w:rsidR="004C7508" w:rsidRPr="00234209">
        <w:rPr>
          <w:lang w:val="nb-NO"/>
        </w:rPr>
        <w:t>1</w:t>
      </w:r>
      <w:r w:rsidR="00E46F7D">
        <w:rPr>
          <w:lang w:val="nb-NO"/>
        </w:rPr>
        <w:t>38669</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7687299F" w14:textId="4FF6EA90" w:rsidR="007679DD" w:rsidRPr="0078067E" w:rsidRDefault="00D549D3" w:rsidP="00B0550D">
      <w:pPr>
        <w:jc w:val="both"/>
        <w:rPr>
          <w:rFonts w:ascii="Times New Roman" w:hAnsi="Times New Roman" w:cs="Times New Roman"/>
          <w:sz w:val="20"/>
          <w:szCs w:val="20"/>
          <w:lang w:val="en-US" w:eastAsia="zh-CN"/>
        </w:rPr>
      </w:pPr>
      <w:r w:rsidRPr="00D549D3">
        <w:rPr>
          <w:rFonts w:ascii="Times New Roman" w:hAnsi="Times New Roman" w:cs="Times New Roman"/>
          <w:sz w:val="20"/>
          <w:szCs w:val="20"/>
          <w:lang w:val="en-US"/>
        </w:rPr>
        <w:t>Mastication has been increasingly recognized as a modifiable behavioral factor influencing both cognitive performance and emotional well-being. A growing body of research has explored gum-chewing paradigms, with studies reporting modest improvements in attention, reaction time, and stress regulation [1</w:t>
      </w:r>
      <w:r>
        <w:rPr>
          <w:rFonts w:ascii="Times New Roman" w:hAnsi="Times New Roman" w:cs="Times New Roman"/>
          <w:sz w:val="20"/>
          <w:szCs w:val="20"/>
          <w:lang w:val="en-US"/>
        </w:rPr>
        <w:t>, 2</w:t>
      </w:r>
      <w:r w:rsidRPr="00D549D3">
        <w:rPr>
          <w:rFonts w:ascii="Times New Roman" w:hAnsi="Times New Roman" w:cs="Times New Roman"/>
          <w:sz w:val="20"/>
          <w:szCs w:val="20"/>
          <w:lang w:val="en-US"/>
        </w:rPr>
        <w:t xml:space="preserve">]. However, most of these findings are derived from controlled laboratory settings using flavored chewing gum, which, while experimentally convenient, lacks ecological validity. In contrast, naturalistic mastication during real-world eating reflects the full spectrum of oral behaviors, including chewing, swallowing, and the integration of multisensory cues, which together provide a more ecologically valid and physiologically relevant model of mastication. </w:t>
      </w:r>
      <w:r w:rsidRPr="00D549D3">
        <w:rPr>
          <w:rFonts w:ascii="Times New Roman" w:hAnsi="Times New Roman" w:cs="Times New Roman"/>
          <w:sz w:val="20"/>
          <w:szCs w:val="20"/>
          <w:lang w:val="en-US"/>
        </w:rPr>
        <w:t>There</w:t>
      </w:r>
      <w:r w:rsidRPr="00D549D3">
        <w:rPr>
          <w:rFonts w:ascii="Times New Roman" w:hAnsi="Times New Roman" w:cs="Times New Roman"/>
          <w:sz w:val="20"/>
          <w:szCs w:val="20"/>
          <w:lang w:val="en-US"/>
        </w:rPr>
        <w:t xml:space="preserve"> is a notable lack of research on how chewing behavior in early adulthood may influence short-term psychological states and potentially shape long-term cognitive trajectories.</w:t>
      </w:r>
      <w:r w:rsidR="0088663F" w:rsidRPr="0088663F">
        <w:rPr>
          <w:rFonts w:ascii="Times New Roman" w:hAnsi="Times New Roman" w:cs="Times New Roman"/>
          <w:sz w:val="20"/>
          <w:szCs w:val="20"/>
          <w:lang w:val="en-US"/>
        </w:rPr>
        <w:t xml:space="preserve"> This study aims to investigate whether a no-chewing diet impacts mood and cognitive function compared to a normal chewing diet. A randomized crossover design was implemented with 28 healthy young participants. Each participant underwent two 3-day intervention periods: (1) a liquid-based diet requiring no chewing and (2) a solid-based diet with normal chewing, separated by a 4-day washout period. Mood was assessed using the Positive and Negative Affect Schedule (PANAS), while cognitive performance was evaluated via cognitive tests focusing on reaction time, memory, and executive function. Preliminary tests showed significant negative emotions are associated with the no-chewing condition compared to the normal chewing condition. This finding demonstrates important implications of oral processing on mood and cognition. </w:t>
      </w: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6911FF96" w14:textId="5EBE1ACD" w:rsidR="00665C88" w:rsidRPr="00D549D3" w:rsidRDefault="002A0A1C" w:rsidP="00D549D3">
      <w:pPr>
        <w:rPr>
          <w:rFonts w:ascii="Times New Roman" w:hAnsi="Times New Roman" w:cs="Times New Roman"/>
          <w:noProof/>
          <w:sz w:val="20"/>
          <w:szCs w:val="20"/>
          <w:lang w:val="en-US"/>
        </w:rPr>
      </w:pPr>
      <w:r w:rsidRPr="00C67487">
        <w:rPr>
          <w:sz w:val="20"/>
        </w:rPr>
        <w:t xml:space="preserve">[1] </w:t>
      </w:r>
      <w:r w:rsidR="00D549D3" w:rsidRPr="00D549D3">
        <w:rPr>
          <w:rFonts w:ascii="Times New Roman" w:hAnsi="Times New Roman" w:cs="Times New Roman"/>
          <w:noProof/>
          <w:sz w:val="20"/>
          <w:szCs w:val="20"/>
          <w:lang w:val="en-US"/>
        </w:rPr>
        <w:t xml:space="preserve">Hirano, Y., Obata, T., Takahashi, H., Tachibana, A., Kuroiwa, D., Takahashi, T., ... &amp; Onozuka, M. (2013). Effects of chewing on cognitive processing speed. </w:t>
      </w:r>
      <w:r w:rsidR="00D549D3" w:rsidRPr="00D549D3">
        <w:rPr>
          <w:rFonts w:ascii="Times New Roman" w:hAnsi="Times New Roman" w:cs="Times New Roman"/>
          <w:i/>
          <w:iCs/>
          <w:noProof/>
          <w:sz w:val="20"/>
          <w:szCs w:val="20"/>
          <w:lang w:val="en-US"/>
        </w:rPr>
        <w:t xml:space="preserve">Brain and </w:t>
      </w:r>
      <w:r w:rsidR="00D549D3" w:rsidRPr="00D549D3">
        <w:rPr>
          <w:rFonts w:ascii="Times New Roman" w:hAnsi="Times New Roman" w:cs="Times New Roman"/>
          <w:i/>
          <w:iCs/>
          <w:noProof/>
          <w:sz w:val="20"/>
          <w:szCs w:val="20"/>
          <w:lang w:val="en-US"/>
        </w:rPr>
        <w:t>C</w:t>
      </w:r>
      <w:r w:rsidR="00D549D3" w:rsidRPr="00D549D3">
        <w:rPr>
          <w:rFonts w:ascii="Times New Roman" w:hAnsi="Times New Roman" w:cs="Times New Roman"/>
          <w:i/>
          <w:iCs/>
          <w:noProof/>
          <w:sz w:val="20"/>
          <w:szCs w:val="20"/>
          <w:lang w:val="en-US"/>
        </w:rPr>
        <w:t>ognition</w:t>
      </w:r>
      <w:r w:rsidR="00D549D3" w:rsidRPr="00D549D3">
        <w:rPr>
          <w:rFonts w:ascii="Times New Roman" w:hAnsi="Times New Roman" w:cs="Times New Roman"/>
          <w:noProof/>
          <w:sz w:val="20"/>
          <w:szCs w:val="20"/>
          <w:lang w:val="en-US"/>
        </w:rPr>
        <w:t xml:space="preserve">, </w:t>
      </w:r>
      <w:r w:rsidR="00D549D3" w:rsidRPr="00D549D3">
        <w:rPr>
          <w:rFonts w:ascii="Times New Roman" w:hAnsi="Times New Roman" w:cs="Times New Roman"/>
          <w:i/>
          <w:iCs/>
          <w:noProof/>
          <w:sz w:val="20"/>
          <w:szCs w:val="20"/>
          <w:lang w:val="en-US"/>
        </w:rPr>
        <w:t>81</w:t>
      </w:r>
      <w:r w:rsidR="00D549D3" w:rsidRPr="00D549D3">
        <w:rPr>
          <w:rFonts w:ascii="Times New Roman" w:hAnsi="Times New Roman" w:cs="Times New Roman"/>
          <w:noProof/>
          <w:sz w:val="20"/>
          <w:szCs w:val="20"/>
          <w:lang w:val="en-US"/>
        </w:rPr>
        <w:t>(3), 376-381. https://doi.org/10.1016/j.bandc.2012.12.002</w:t>
      </w:r>
    </w:p>
    <w:p w14:paraId="7BC67066" w14:textId="2B99EC65" w:rsidR="003B0ABD" w:rsidRPr="002537DA" w:rsidRDefault="002A0A1C" w:rsidP="0078067E">
      <w:pPr>
        <w:pStyle w:val="Els-keywords"/>
        <w:spacing w:after="120" w:line="240" w:lineRule="auto"/>
        <w:rPr>
          <w:sz w:val="20"/>
        </w:rPr>
      </w:pPr>
      <w:r w:rsidRPr="00C67487">
        <w:rPr>
          <w:sz w:val="20"/>
        </w:rPr>
        <w:t xml:space="preserve">[2] </w:t>
      </w:r>
      <w:r w:rsidR="00D549D3" w:rsidRPr="00D549D3">
        <w:rPr>
          <w:sz w:val="20"/>
        </w:rPr>
        <w:t xml:space="preserve">Tucha, L., &amp; Simpson, W. (2011). The role of time on task performance in modifying the effects of gum chewing on attention. </w:t>
      </w:r>
      <w:r w:rsidR="00D549D3" w:rsidRPr="00D549D3">
        <w:rPr>
          <w:i/>
          <w:iCs/>
          <w:sz w:val="20"/>
        </w:rPr>
        <w:t>Appetite</w:t>
      </w:r>
      <w:r w:rsidR="00D549D3" w:rsidRPr="00D549D3">
        <w:rPr>
          <w:sz w:val="20"/>
        </w:rPr>
        <w:t xml:space="preserve">, </w:t>
      </w:r>
      <w:r w:rsidR="00D549D3" w:rsidRPr="00D549D3">
        <w:rPr>
          <w:i/>
          <w:iCs/>
          <w:sz w:val="20"/>
        </w:rPr>
        <w:t>56</w:t>
      </w:r>
      <w:r w:rsidR="00D549D3" w:rsidRPr="00D549D3">
        <w:rPr>
          <w:sz w:val="20"/>
        </w:rPr>
        <w:t>(2), 299-301. https://doi.org/10.1016/j.appet.2010.12.021</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44D1D" w14:textId="77777777" w:rsidR="00B07434" w:rsidRDefault="00B07434" w:rsidP="00431340">
      <w:pPr>
        <w:spacing w:after="0" w:line="240" w:lineRule="auto"/>
      </w:pPr>
      <w:r>
        <w:separator/>
      </w:r>
    </w:p>
  </w:endnote>
  <w:endnote w:type="continuationSeparator" w:id="0">
    <w:p w14:paraId="0F1DC0ED" w14:textId="77777777" w:rsidR="00B07434" w:rsidRDefault="00B07434"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3DDF6" w14:textId="77777777" w:rsidR="00B07434" w:rsidRDefault="00B07434" w:rsidP="00431340">
      <w:pPr>
        <w:spacing w:after="0" w:line="240" w:lineRule="auto"/>
      </w:pPr>
      <w:r>
        <w:separator/>
      </w:r>
    </w:p>
  </w:footnote>
  <w:footnote w:type="continuationSeparator" w:id="0">
    <w:p w14:paraId="27C251EE" w14:textId="77777777" w:rsidR="00B07434" w:rsidRDefault="00B07434"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170FA"/>
    <w:rsid w:val="00165077"/>
    <w:rsid w:val="001C51B3"/>
    <w:rsid w:val="00234209"/>
    <w:rsid w:val="002537DA"/>
    <w:rsid w:val="002A0A1C"/>
    <w:rsid w:val="002A2B3C"/>
    <w:rsid w:val="002C136F"/>
    <w:rsid w:val="002E59A3"/>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14DB9"/>
    <w:rsid w:val="007679DD"/>
    <w:rsid w:val="00772B06"/>
    <w:rsid w:val="007752C7"/>
    <w:rsid w:val="0078067E"/>
    <w:rsid w:val="00781D43"/>
    <w:rsid w:val="00827794"/>
    <w:rsid w:val="0088663F"/>
    <w:rsid w:val="009C71BA"/>
    <w:rsid w:val="00B0550D"/>
    <w:rsid w:val="00B07434"/>
    <w:rsid w:val="00B30BFB"/>
    <w:rsid w:val="00B35C47"/>
    <w:rsid w:val="00BE265A"/>
    <w:rsid w:val="00BF77A7"/>
    <w:rsid w:val="00C17F75"/>
    <w:rsid w:val="00C4616B"/>
    <w:rsid w:val="00C67487"/>
    <w:rsid w:val="00CC179B"/>
    <w:rsid w:val="00D10E69"/>
    <w:rsid w:val="00D22B4E"/>
    <w:rsid w:val="00D236C7"/>
    <w:rsid w:val="00D549D3"/>
    <w:rsid w:val="00D753D4"/>
    <w:rsid w:val="00DD4FF9"/>
    <w:rsid w:val="00E46F7D"/>
    <w:rsid w:val="00E967A6"/>
    <w:rsid w:val="00EA7FD1"/>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377</Words>
  <Characters>2314</Characters>
  <Application>Microsoft Office Word</Application>
  <DocSecurity>0</DocSecurity>
  <Lines>35</Lines>
  <Paragraphs>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Liu Yinying from.tp</cp:lastModifiedBy>
  <cp:revision>8</cp:revision>
  <dcterms:created xsi:type="dcterms:W3CDTF">2026-04-07T03:47:00Z</dcterms:created>
  <dcterms:modified xsi:type="dcterms:W3CDTF">2026-04-09T04:48:00Z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