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540C2D0E" w14:textId="377EE0BA" w:rsidR="009A7DEC" w:rsidRPr="009A7DEC" w:rsidRDefault="001A7896" w:rsidP="00431F34">
      <w:pPr>
        <w:pStyle w:val="Els-Title"/>
      </w:pPr>
      <w:r>
        <w:t>Improvement of Drying Process and Formulation for Plant-Based Overripe Tempe Stock</w:t>
      </w:r>
    </w:p>
    <w:p w14:paraId="5342D5C1" w14:textId="0E3CBE5E" w:rsidR="00673656" w:rsidRPr="00EC776A" w:rsidRDefault="00EC776A" w:rsidP="00EC776A">
      <w:pPr>
        <w:pStyle w:val="Els-Author"/>
        <w:ind w:right="2"/>
        <w:rPr>
          <w:sz w:val="24"/>
          <w:szCs w:val="24"/>
          <w:vertAlign w:val="superscript"/>
        </w:rPr>
        <w:sectPr w:rsidR="00673656" w:rsidRPr="00EC776A"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Pr>
          <w:sz w:val="24"/>
          <w:szCs w:val="24"/>
          <w:lang w:val="nb-NO"/>
        </w:rPr>
        <w:t>S</w:t>
      </w:r>
      <w:r w:rsidR="004C7508" w:rsidRPr="009C71BA">
        <w:rPr>
          <w:sz w:val="24"/>
          <w:szCs w:val="24"/>
          <w:lang w:val="nb-NO"/>
        </w:rPr>
        <w:t>.</w:t>
      </w:r>
      <w:r>
        <w:rPr>
          <w:sz w:val="24"/>
          <w:szCs w:val="24"/>
          <w:lang w:val="nb-NO"/>
        </w:rPr>
        <w:t>A</w:t>
      </w:r>
      <w:r w:rsidR="004C7508" w:rsidRPr="009C71BA">
        <w:rPr>
          <w:sz w:val="24"/>
          <w:szCs w:val="24"/>
          <w:lang w:val="nb-NO"/>
        </w:rPr>
        <w:t xml:space="preserve">. </w:t>
      </w:r>
      <w:r>
        <w:rPr>
          <w:sz w:val="24"/>
          <w:szCs w:val="24"/>
          <w:lang w:val="nb-NO"/>
        </w:rPr>
        <w:t>Fortunata</w:t>
      </w:r>
      <w:r w:rsidR="00C67487" w:rsidRPr="009C71BA">
        <w:rPr>
          <w:sz w:val="24"/>
          <w:szCs w:val="24"/>
          <w:vertAlign w:val="superscript"/>
          <w:lang w:val="nb-NO"/>
        </w:rPr>
        <w:t>a</w:t>
      </w:r>
      <w:r w:rsidR="00673656" w:rsidRPr="009C71BA">
        <w:rPr>
          <w:sz w:val="24"/>
          <w:szCs w:val="24"/>
          <w:vertAlign w:val="superscript"/>
        </w:rPr>
        <w:footnoteReference w:id="1"/>
      </w:r>
      <w:r w:rsidR="00673656" w:rsidRPr="009C71BA">
        <w:rPr>
          <w:sz w:val="24"/>
          <w:szCs w:val="24"/>
          <w:lang w:val="nb-NO"/>
        </w:rPr>
        <w:t xml:space="preserve">, </w:t>
      </w:r>
      <w:r>
        <w:rPr>
          <w:sz w:val="24"/>
          <w:szCs w:val="24"/>
          <w:lang w:val="nb-NO"/>
        </w:rPr>
        <w:t>C.H. Wijaya</w:t>
      </w:r>
      <w:r w:rsidR="00673656" w:rsidRPr="009C71BA">
        <w:rPr>
          <w:sz w:val="24"/>
          <w:szCs w:val="24"/>
          <w:vertAlign w:val="superscript"/>
          <w:lang w:val="nb-NO"/>
        </w:rPr>
        <w:t>b</w:t>
      </w:r>
      <w:r>
        <w:rPr>
          <w:sz w:val="24"/>
          <w:szCs w:val="24"/>
        </w:rPr>
        <w:t>, N.E. Suyatma</w:t>
      </w:r>
      <w:r>
        <w:rPr>
          <w:sz w:val="24"/>
          <w:szCs w:val="24"/>
          <w:vertAlign w:val="superscript"/>
        </w:rPr>
        <w:t>b</w:t>
      </w:r>
      <w:r>
        <w:rPr>
          <w:sz w:val="24"/>
          <w:szCs w:val="24"/>
        </w:rPr>
        <w:t>, M.D.P.T.G. Puteri</w:t>
      </w:r>
      <w:r w:rsidR="00CA1938">
        <w:rPr>
          <w:sz w:val="24"/>
          <w:szCs w:val="24"/>
          <w:vertAlign w:val="superscript"/>
        </w:rPr>
        <w:t>c</w:t>
      </w:r>
    </w:p>
    <w:p w14:paraId="2933548A" w14:textId="32A796E2" w:rsidR="00CA1938" w:rsidRDefault="004C7508" w:rsidP="00234209">
      <w:pPr>
        <w:pStyle w:val="Els-Affiliation"/>
        <w:rPr>
          <w:lang w:val="nb-NO"/>
        </w:rPr>
      </w:pPr>
      <w:r>
        <w:rPr>
          <w:vertAlign w:val="superscript"/>
          <w:lang w:val="nb-NO"/>
        </w:rPr>
        <w:t>a</w:t>
      </w:r>
      <w:r w:rsidRPr="00234209">
        <w:rPr>
          <w:lang w:val="nb-NO"/>
        </w:rPr>
        <w:t xml:space="preserve"> </w:t>
      </w:r>
      <w:r>
        <w:rPr>
          <w:lang w:val="nb-NO"/>
        </w:rPr>
        <w:t xml:space="preserve">Department of </w:t>
      </w:r>
      <w:r w:rsidR="00EC776A">
        <w:rPr>
          <w:lang w:val="nb-NO"/>
        </w:rPr>
        <w:t>Bio</w:t>
      </w:r>
      <w:r w:rsidR="00CA1938">
        <w:rPr>
          <w:lang w:val="nb-NO"/>
        </w:rPr>
        <w:t>medical Engineering</w:t>
      </w:r>
      <w:r>
        <w:rPr>
          <w:lang w:val="nb-NO"/>
        </w:rPr>
        <w:t xml:space="preserve">, </w:t>
      </w:r>
      <w:r w:rsidR="00CA1938">
        <w:rPr>
          <w:lang w:val="nb-NO"/>
        </w:rPr>
        <w:t>Swiss German University, Jl. Jalur Sutera Barat, Indonesia 15143</w:t>
      </w:r>
    </w:p>
    <w:p w14:paraId="0EE0214B" w14:textId="49EE3B03" w:rsidR="00CA1938" w:rsidRPr="00CA1938" w:rsidRDefault="00CA1938" w:rsidP="00CA1938">
      <w:pPr>
        <w:pStyle w:val="Els-Affiliation"/>
        <w:rPr>
          <w:lang w:val="nb-NO"/>
        </w:rPr>
      </w:pPr>
      <w:r>
        <w:rPr>
          <w:vertAlign w:val="superscript"/>
          <w:lang w:val="nb-NO"/>
        </w:rPr>
        <w:t>b</w:t>
      </w:r>
      <w:r>
        <w:rPr>
          <w:lang w:val="nb-NO"/>
        </w:rPr>
        <w:t>Department of Food Science and Technology, IPB University, Jl. Raya Dramaga, Indonesia 16680</w:t>
      </w:r>
    </w:p>
    <w:p w14:paraId="05A3C6FA" w14:textId="23EBD27F" w:rsidR="00431340" w:rsidRDefault="00CA1938" w:rsidP="00CA1938">
      <w:pPr>
        <w:pStyle w:val="Els-Affiliation"/>
        <w:rPr>
          <w:lang w:eastAsia="zh-CN"/>
        </w:rPr>
      </w:pPr>
      <w:r>
        <w:rPr>
          <w:vertAlign w:val="superscript"/>
          <w:lang w:val="nb-NO"/>
        </w:rPr>
        <w:t>c</w:t>
      </w:r>
      <w:r>
        <w:rPr>
          <w:lang w:val="nb-NO"/>
        </w:rPr>
        <w:t>Department of Food Technology</w:t>
      </w:r>
      <w:r w:rsidR="004C7508">
        <w:rPr>
          <w:lang w:val="nb-NO"/>
        </w:rPr>
        <w:t xml:space="preserve">, </w:t>
      </w:r>
      <w:r>
        <w:rPr>
          <w:lang w:val="nb-NO"/>
        </w:rPr>
        <w:t>Swiss German University, Jl. Jalur Sutera Barat, Indonesia 15143</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B181876" w14:textId="6456C6DD" w:rsidR="003044E0" w:rsidRPr="004175D6" w:rsidRDefault="004A24F4" w:rsidP="004175D6">
      <w:pPr>
        <w:pStyle w:val="Els-Abstract-head"/>
        <w:spacing w:before="120" w:after="0" w:line="240" w:lineRule="auto"/>
        <w:jc w:val="both"/>
        <w:rPr>
          <w:b w:val="0"/>
          <w:sz w:val="20"/>
        </w:rPr>
      </w:pPr>
      <w:r w:rsidRPr="000B3083">
        <w:rPr>
          <w:b w:val="0"/>
          <w:sz w:val="20"/>
        </w:rPr>
        <w:t xml:space="preserve">Overripe </w:t>
      </w:r>
      <w:proofErr w:type="spellStart"/>
      <w:r w:rsidRPr="000B3083">
        <w:rPr>
          <w:b w:val="0"/>
          <w:sz w:val="20"/>
        </w:rPr>
        <w:t>tempe</w:t>
      </w:r>
      <w:proofErr w:type="spellEnd"/>
      <w:r w:rsidRPr="000B3083">
        <w:rPr>
          <w:b w:val="0"/>
          <w:sz w:val="20"/>
        </w:rPr>
        <w:t xml:space="preserve"> (</w:t>
      </w:r>
      <w:proofErr w:type="spellStart"/>
      <w:r w:rsidRPr="000B3083">
        <w:rPr>
          <w:b w:val="0"/>
          <w:i/>
          <w:iCs/>
          <w:sz w:val="20"/>
        </w:rPr>
        <w:t>tempe</w:t>
      </w:r>
      <w:proofErr w:type="spellEnd"/>
      <w:r w:rsidRPr="000B3083">
        <w:rPr>
          <w:b w:val="0"/>
          <w:i/>
          <w:iCs/>
          <w:sz w:val="20"/>
        </w:rPr>
        <w:t xml:space="preserve"> </w:t>
      </w:r>
      <w:proofErr w:type="spellStart"/>
      <w:r w:rsidRPr="000B3083">
        <w:rPr>
          <w:b w:val="0"/>
          <w:i/>
          <w:iCs/>
          <w:sz w:val="20"/>
        </w:rPr>
        <w:t>semangit</w:t>
      </w:r>
      <w:proofErr w:type="spellEnd"/>
      <w:r w:rsidRPr="000B3083">
        <w:rPr>
          <w:b w:val="0"/>
          <w:sz w:val="20"/>
        </w:rPr>
        <w:t xml:space="preserve">) is a traditional Indonesian </w:t>
      </w:r>
      <w:r>
        <w:rPr>
          <w:b w:val="0"/>
          <w:sz w:val="20"/>
        </w:rPr>
        <w:t xml:space="preserve">fermented </w:t>
      </w:r>
      <w:r w:rsidRPr="000B3083">
        <w:rPr>
          <w:b w:val="0"/>
          <w:sz w:val="20"/>
        </w:rPr>
        <w:t>food produced through an extended soybean fermentation</w:t>
      </w:r>
      <w:r>
        <w:rPr>
          <w:b w:val="0"/>
          <w:sz w:val="20"/>
        </w:rPr>
        <w:t>.</w:t>
      </w:r>
      <w:r w:rsidRPr="000B3083">
        <w:rPr>
          <w:b w:val="0"/>
          <w:sz w:val="20"/>
        </w:rPr>
        <w:t xml:space="preserve"> </w:t>
      </w:r>
      <w:r>
        <w:rPr>
          <w:b w:val="0"/>
          <w:sz w:val="20"/>
        </w:rPr>
        <w:t>The extended fermentation (48</w:t>
      </w:r>
      <w:r w:rsidRPr="00B72DB6">
        <w:rPr>
          <w:b w:val="0"/>
          <w:sz w:val="20"/>
        </w:rPr>
        <w:t>–</w:t>
      </w:r>
      <w:r>
        <w:rPr>
          <w:b w:val="0"/>
          <w:sz w:val="20"/>
        </w:rPr>
        <w:t xml:space="preserve">72 h) </w:t>
      </w:r>
      <w:r w:rsidR="000B3D53">
        <w:rPr>
          <w:b w:val="0"/>
          <w:sz w:val="20"/>
        </w:rPr>
        <w:t xml:space="preserve">generates </w:t>
      </w:r>
      <w:r>
        <w:rPr>
          <w:b w:val="0"/>
          <w:sz w:val="20"/>
        </w:rPr>
        <w:t>free amino acids that contribute to an umami profile and making it a valuable flavor enhancer [1]</w:t>
      </w:r>
      <w:r w:rsidRPr="00723451">
        <w:rPr>
          <w:b w:val="0"/>
          <w:sz w:val="20"/>
        </w:rPr>
        <w:t>. It also shows promise as a high-protein ingredient</w:t>
      </w:r>
      <w:r>
        <w:rPr>
          <w:b w:val="0"/>
          <w:sz w:val="20"/>
        </w:rPr>
        <w:t xml:space="preserve"> for</w:t>
      </w:r>
      <w:r w:rsidRPr="00B72DB6">
        <w:rPr>
          <w:b w:val="0"/>
          <w:sz w:val="20"/>
        </w:rPr>
        <w:t xml:space="preserve"> ready-to-eat porridge and savory stock formulations [2</w:t>
      </w:r>
      <w:r w:rsidR="00E02BCD" w:rsidRPr="00B72DB6">
        <w:rPr>
          <w:b w:val="0"/>
          <w:sz w:val="20"/>
        </w:rPr>
        <w:t>–</w:t>
      </w:r>
      <w:r>
        <w:rPr>
          <w:b w:val="0"/>
          <w:sz w:val="20"/>
        </w:rPr>
        <w:t>4</w:t>
      </w:r>
      <w:r w:rsidRPr="00B72DB6">
        <w:rPr>
          <w:b w:val="0"/>
          <w:sz w:val="20"/>
        </w:rPr>
        <w:t xml:space="preserve">]. </w:t>
      </w:r>
      <w:r w:rsidR="00E02BCD">
        <w:rPr>
          <w:b w:val="0"/>
          <w:sz w:val="20"/>
        </w:rPr>
        <w:t xml:space="preserve">However, two key challenges limit commercial development: </w:t>
      </w:r>
      <w:r w:rsidR="00E02BCD" w:rsidRPr="00E02BCD">
        <w:rPr>
          <w:b w:val="0"/>
          <w:sz w:val="20"/>
        </w:rPr>
        <w:t xml:space="preserve">high moisture content </w:t>
      </w:r>
      <w:r w:rsidR="00E02BCD" w:rsidRPr="004A24F4">
        <w:rPr>
          <w:b w:val="0"/>
          <w:sz w:val="20"/>
        </w:rPr>
        <w:t xml:space="preserve">of overripe </w:t>
      </w:r>
      <w:proofErr w:type="spellStart"/>
      <w:r w:rsidR="00E02BCD" w:rsidRPr="004A24F4">
        <w:rPr>
          <w:b w:val="0"/>
          <w:sz w:val="20"/>
        </w:rPr>
        <w:t>tempe</w:t>
      </w:r>
      <w:proofErr w:type="spellEnd"/>
      <w:r w:rsidR="00E02BCD" w:rsidRPr="004A24F4">
        <w:rPr>
          <w:b w:val="0"/>
          <w:sz w:val="20"/>
        </w:rPr>
        <w:t xml:space="preserve"> </w:t>
      </w:r>
      <w:r w:rsidR="00E02BCD" w:rsidRPr="00E02BCD">
        <w:rPr>
          <w:b w:val="0"/>
          <w:sz w:val="20"/>
        </w:rPr>
        <w:t xml:space="preserve">requiring </w:t>
      </w:r>
      <w:r w:rsidR="00E02BCD">
        <w:rPr>
          <w:b w:val="0"/>
          <w:sz w:val="20"/>
        </w:rPr>
        <w:t>effective</w:t>
      </w:r>
      <w:r w:rsidR="00E02BCD" w:rsidRPr="00E02BCD">
        <w:rPr>
          <w:b w:val="0"/>
          <w:sz w:val="20"/>
        </w:rPr>
        <w:t xml:space="preserve"> drying without crust formation that impairs powder solubility and rehydration</w:t>
      </w:r>
      <w:r w:rsidR="000B3D53">
        <w:rPr>
          <w:b w:val="0"/>
          <w:sz w:val="20"/>
        </w:rPr>
        <w:t xml:space="preserve"> [5,6]</w:t>
      </w:r>
      <w:r w:rsidR="00E02BCD">
        <w:rPr>
          <w:b w:val="0"/>
          <w:sz w:val="20"/>
        </w:rPr>
        <w:t xml:space="preserve"> and formulation with hygroscopic ingredients (overripe </w:t>
      </w:r>
      <w:proofErr w:type="spellStart"/>
      <w:r w:rsidR="00E02BCD">
        <w:rPr>
          <w:b w:val="0"/>
          <w:sz w:val="20"/>
        </w:rPr>
        <w:t>tempe</w:t>
      </w:r>
      <w:proofErr w:type="spellEnd"/>
      <w:r w:rsidR="00E02BCD">
        <w:rPr>
          <w:b w:val="0"/>
          <w:sz w:val="20"/>
        </w:rPr>
        <w:t xml:space="preserve"> powder, salt, and sugar) that compromise storage stability while balancing sensory acceptance [7]</w:t>
      </w:r>
      <w:r w:rsidRPr="004A24F4">
        <w:rPr>
          <w:b w:val="0"/>
          <w:sz w:val="20"/>
        </w:rPr>
        <w:t xml:space="preserve">. </w:t>
      </w:r>
      <w:r>
        <w:rPr>
          <w:b w:val="0"/>
          <w:sz w:val="20"/>
        </w:rPr>
        <w:t xml:space="preserve">For the drying process, </w:t>
      </w:r>
      <w:r w:rsidRPr="00B72DB6">
        <w:rPr>
          <w:b w:val="0"/>
          <w:sz w:val="20"/>
        </w:rPr>
        <w:t>Response Surface Methodology (RSM) with a central composite design was utilized to evaluate the effects of sample shape (slices or pellets), initial drying temperature (60°C–80°C), and initial drying time (180–240 min).</w:t>
      </w:r>
      <w:r>
        <w:rPr>
          <w:b w:val="0"/>
          <w:sz w:val="20"/>
        </w:rPr>
        <w:t xml:space="preserve"> </w:t>
      </w:r>
      <w:r w:rsidRPr="004A24F4">
        <w:rPr>
          <w:b w:val="0"/>
          <w:sz w:val="20"/>
        </w:rPr>
        <w:t>The best drying parameters was obtained by</w:t>
      </w:r>
      <w:r w:rsidR="00E02BCD">
        <w:rPr>
          <w:b w:val="0"/>
          <w:sz w:val="20"/>
        </w:rPr>
        <w:t xml:space="preserve"> grinding the </w:t>
      </w:r>
      <w:proofErr w:type="spellStart"/>
      <w:r w:rsidR="00E02BCD">
        <w:rPr>
          <w:b w:val="0"/>
          <w:sz w:val="20"/>
        </w:rPr>
        <w:t>tempe</w:t>
      </w:r>
      <w:proofErr w:type="spellEnd"/>
      <w:r w:rsidR="00E02BCD">
        <w:rPr>
          <w:b w:val="0"/>
          <w:sz w:val="20"/>
        </w:rPr>
        <w:t xml:space="preserve"> followed by oven drying at </w:t>
      </w:r>
      <w:r w:rsidRPr="004A24F4">
        <w:rPr>
          <w:b w:val="0"/>
          <w:sz w:val="20"/>
        </w:rPr>
        <w:t>80°C for 240 min</w:t>
      </w:r>
      <w:r>
        <w:rPr>
          <w:b w:val="0"/>
          <w:sz w:val="20"/>
        </w:rPr>
        <w:t xml:space="preserve"> </w:t>
      </w:r>
      <w:r w:rsidR="00E02BCD">
        <w:rPr>
          <w:b w:val="0"/>
          <w:sz w:val="20"/>
        </w:rPr>
        <w:t xml:space="preserve">then oven baking at </w:t>
      </w:r>
      <w:r w:rsidR="000B3D53">
        <w:rPr>
          <w:b w:val="0"/>
          <w:sz w:val="20"/>
        </w:rPr>
        <w:t>120</w:t>
      </w:r>
      <w:r w:rsidR="000B3D53" w:rsidRPr="00B72DB6">
        <w:rPr>
          <w:b w:val="0"/>
          <w:sz w:val="20"/>
        </w:rPr>
        <w:t>°</w:t>
      </w:r>
      <w:r w:rsidR="000B3D53">
        <w:rPr>
          <w:b w:val="0"/>
          <w:sz w:val="20"/>
        </w:rPr>
        <w:t xml:space="preserve">C for 25 min. </w:t>
      </w:r>
      <w:r w:rsidR="000B3D53" w:rsidRPr="000B3D53">
        <w:rPr>
          <w:b w:val="0"/>
          <w:sz w:val="20"/>
        </w:rPr>
        <w:t xml:space="preserve">This process reduced moisture content to 2.30%, below the </w:t>
      </w:r>
      <w:r w:rsidR="000B3D53">
        <w:rPr>
          <w:b w:val="0"/>
          <w:sz w:val="20"/>
        </w:rPr>
        <w:t xml:space="preserve">national </w:t>
      </w:r>
      <w:r w:rsidR="000B3D53" w:rsidRPr="000B3D53">
        <w:rPr>
          <w:b w:val="0"/>
          <w:sz w:val="20"/>
        </w:rPr>
        <w:t xml:space="preserve">standard of </w:t>
      </w:r>
      <w:r w:rsidR="000B3D53">
        <w:rPr>
          <w:b w:val="0"/>
          <w:sz w:val="20"/>
        </w:rPr>
        <w:t>&lt;</w:t>
      </w:r>
      <w:r w:rsidR="000B3D53" w:rsidRPr="000B3D53">
        <w:rPr>
          <w:b w:val="0"/>
          <w:sz w:val="20"/>
        </w:rPr>
        <w:t xml:space="preserve">4%, and shortened the drying time from 17 h to 4 h </w:t>
      </w:r>
      <w:r w:rsidR="000B3D53">
        <w:rPr>
          <w:b w:val="0"/>
          <w:sz w:val="20"/>
        </w:rPr>
        <w:t>with</w:t>
      </w:r>
      <w:r w:rsidR="000B3D53" w:rsidRPr="000B3D53">
        <w:rPr>
          <w:b w:val="0"/>
          <w:sz w:val="20"/>
        </w:rPr>
        <w:t xml:space="preserve"> superior flowability and processing efficiency</w:t>
      </w:r>
      <w:r w:rsidR="000B3D53">
        <w:rPr>
          <w:b w:val="0"/>
          <w:sz w:val="20"/>
        </w:rPr>
        <w:t xml:space="preserve"> [8]</w:t>
      </w:r>
      <w:r w:rsidR="000B3D53" w:rsidRPr="000B3D53">
        <w:rPr>
          <w:b w:val="0"/>
          <w:sz w:val="20"/>
        </w:rPr>
        <w:t>.</w:t>
      </w:r>
      <w:r w:rsidR="000B3D53">
        <w:rPr>
          <w:b w:val="0"/>
          <w:sz w:val="20"/>
        </w:rPr>
        <w:t xml:space="preserve"> </w:t>
      </w:r>
      <w:r w:rsidR="00E02BCD" w:rsidRPr="00E02BCD">
        <w:rPr>
          <w:b w:val="0"/>
          <w:sz w:val="20"/>
        </w:rPr>
        <w:t xml:space="preserve">Subsequently, Mixture Design optimized instant stock formulation using maltodextrin (0–30%), palm sugar (6.5–19.5%), and sea salt (0–19.5%). The optimal formula (6.08% maltodextrin, 14.72% palm sugar, 18.20% sea salt) outperformed the commercial benchmark, achieving lower moisture content (3.77% vs. 4.22%), higher hedonic acceptance (6.00 vs. 5.57), and more balanced Just-About-Right (JAR) scores closer to the ideal value of 4 for saltiness (4.28 vs. 5.19) and color (4.54 vs. 5.23), with </w:t>
      </w:r>
      <w:r w:rsidR="00AC0505">
        <w:rPr>
          <w:b w:val="0"/>
          <w:sz w:val="20"/>
        </w:rPr>
        <w:t>less</w:t>
      </w:r>
      <w:r w:rsidR="00E02BCD" w:rsidRPr="00E02BCD">
        <w:rPr>
          <w:b w:val="0"/>
          <w:sz w:val="20"/>
        </w:rPr>
        <w:t xml:space="preserve"> browning (27.49 vs. 31.05) and </w:t>
      </w:r>
      <w:r w:rsidR="00AC0505">
        <w:rPr>
          <w:b w:val="0"/>
          <w:sz w:val="20"/>
        </w:rPr>
        <w:t xml:space="preserve">improved </w:t>
      </w:r>
      <w:r w:rsidR="00E02BCD" w:rsidRPr="00E02BCD">
        <w:rPr>
          <w:b w:val="0"/>
          <w:sz w:val="20"/>
        </w:rPr>
        <w:t>whiteness indices (67.14 vs. 65.05).</w:t>
      </w:r>
      <w:r w:rsidR="00AC0505">
        <w:rPr>
          <w:b w:val="0"/>
          <w:sz w:val="20"/>
        </w:rPr>
        <w:t xml:space="preserve"> </w:t>
      </w:r>
      <w:r w:rsidR="00AC0505" w:rsidRPr="00AC0505">
        <w:rPr>
          <w:b w:val="0"/>
          <w:sz w:val="20"/>
        </w:rPr>
        <w:t xml:space="preserve">This integrated approach produces a shelf-stable, plant-based overripe </w:t>
      </w:r>
      <w:proofErr w:type="spellStart"/>
      <w:r w:rsidR="00AC0505" w:rsidRPr="00AC0505">
        <w:rPr>
          <w:b w:val="0"/>
          <w:sz w:val="20"/>
        </w:rPr>
        <w:t>tempe</w:t>
      </w:r>
      <w:proofErr w:type="spellEnd"/>
      <w:r w:rsidR="00AC0505" w:rsidRPr="00AC0505">
        <w:rPr>
          <w:b w:val="0"/>
          <w:sz w:val="20"/>
        </w:rPr>
        <w:t xml:space="preserve"> stock meeting national standards with </w:t>
      </w:r>
      <w:r w:rsidR="00AC0505">
        <w:rPr>
          <w:b w:val="0"/>
          <w:sz w:val="20"/>
        </w:rPr>
        <w:t>well-balanced</w:t>
      </w:r>
      <w:r w:rsidR="00AC0505" w:rsidRPr="00AC0505">
        <w:rPr>
          <w:b w:val="0"/>
          <w:sz w:val="20"/>
        </w:rPr>
        <w:t xml:space="preserve"> sensory and consumer acceptance.</w:t>
      </w:r>
    </w:p>
    <w:p w14:paraId="3113DD3C" w14:textId="77777777" w:rsidR="004175D6" w:rsidRDefault="004175D6" w:rsidP="00665C88">
      <w:pPr>
        <w:pStyle w:val="Els-keywords"/>
        <w:spacing w:after="120" w:line="240" w:lineRule="auto"/>
        <w:rPr>
          <w:b/>
          <w:sz w:val="20"/>
        </w:rPr>
      </w:pPr>
    </w:p>
    <w:p w14:paraId="0AE07FD0" w14:textId="037816EB" w:rsidR="002A0A1C" w:rsidRPr="00C67487" w:rsidRDefault="002A0A1C" w:rsidP="00665C88">
      <w:pPr>
        <w:pStyle w:val="Els-keywords"/>
        <w:spacing w:after="120" w:line="240" w:lineRule="auto"/>
        <w:rPr>
          <w:b/>
          <w:sz w:val="20"/>
        </w:rPr>
      </w:pPr>
      <w:r w:rsidRPr="00C67487">
        <w:rPr>
          <w:b/>
          <w:sz w:val="20"/>
        </w:rPr>
        <w:t>References</w:t>
      </w:r>
    </w:p>
    <w:p w14:paraId="1C5D4425" w14:textId="1F885967" w:rsidR="00746240" w:rsidRDefault="002A0A1C" w:rsidP="00665C88">
      <w:pPr>
        <w:pStyle w:val="Els-keywords"/>
        <w:spacing w:after="120" w:line="240" w:lineRule="auto"/>
        <w:rPr>
          <w:sz w:val="20"/>
        </w:rPr>
      </w:pPr>
      <w:r w:rsidRPr="00C67487">
        <w:rPr>
          <w:sz w:val="20"/>
        </w:rPr>
        <w:t xml:space="preserve">[1] </w:t>
      </w:r>
      <w:r w:rsidR="00777544">
        <w:rPr>
          <w:sz w:val="20"/>
        </w:rPr>
        <w:t>R. Utami, C. H. Wijaya, H. N. Lioe, “</w:t>
      </w:r>
      <w:r w:rsidR="00777544" w:rsidRPr="00777544">
        <w:rPr>
          <w:sz w:val="20"/>
        </w:rPr>
        <w:t>Taste of Water-Soluble Extracts Obtained from Over-Fermented Tempe</w:t>
      </w:r>
      <w:r w:rsidR="00777544">
        <w:rPr>
          <w:sz w:val="20"/>
        </w:rPr>
        <w:t>”, Int. J. Food Prop., Vol. 19, pp. 2063</w:t>
      </w:r>
      <w:r w:rsidR="00777544" w:rsidRPr="00B72DB6">
        <w:rPr>
          <w:sz w:val="20"/>
        </w:rPr>
        <w:t>–</w:t>
      </w:r>
      <w:r w:rsidR="00777544">
        <w:rPr>
          <w:sz w:val="20"/>
        </w:rPr>
        <w:t>2073, 2016.</w:t>
      </w:r>
    </w:p>
    <w:p w14:paraId="069A8332" w14:textId="2A9515B8" w:rsidR="00746240" w:rsidRDefault="00B72DB6" w:rsidP="00665C88">
      <w:pPr>
        <w:pStyle w:val="Els-keywords"/>
        <w:spacing w:after="120" w:line="240" w:lineRule="auto"/>
        <w:rPr>
          <w:sz w:val="20"/>
        </w:rPr>
      </w:pPr>
      <w:r>
        <w:rPr>
          <w:sz w:val="20"/>
        </w:rPr>
        <w:t xml:space="preserve">[2] </w:t>
      </w:r>
      <w:r w:rsidR="00802F95">
        <w:rPr>
          <w:sz w:val="20"/>
        </w:rPr>
        <w:t>M. D. P. T. Gunawan Puteri, S. A. Fortunata, E. K. Prabawati, F. Kristianti, C. H. Wijaya, “Overripe Tempe as Source of Protein in Development of Ready to Eat Porridge”, IFRJ, Vol. 25, Suppl. 2, pp. S201</w:t>
      </w:r>
      <w:r w:rsidR="00802F95" w:rsidRPr="00B72DB6">
        <w:rPr>
          <w:sz w:val="20"/>
        </w:rPr>
        <w:t>–</w:t>
      </w:r>
      <w:r w:rsidR="00802F95">
        <w:rPr>
          <w:sz w:val="20"/>
        </w:rPr>
        <w:t>S209, 2018.</w:t>
      </w:r>
    </w:p>
    <w:p w14:paraId="53E4DA6B" w14:textId="37FCB794" w:rsidR="00B72DB6" w:rsidRDefault="00B72DB6" w:rsidP="00665C88">
      <w:pPr>
        <w:pStyle w:val="Els-keywords"/>
        <w:spacing w:after="120" w:line="240" w:lineRule="auto"/>
        <w:rPr>
          <w:sz w:val="20"/>
        </w:rPr>
      </w:pPr>
      <w:r>
        <w:rPr>
          <w:sz w:val="20"/>
        </w:rPr>
        <w:t xml:space="preserve">[3] </w:t>
      </w:r>
      <w:r w:rsidR="00802F95">
        <w:rPr>
          <w:sz w:val="20"/>
        </w:rPr>
        <w:t>M. D. P. T. Gunawan Puteri, L. Christli, E. K. Prabawati, A. M. Marpaung, “Development of Rice Porridge with Overripe Tempeh Extract for Infants”, Advances in Engineering Research, pp. 183</w:t>
      </w:r>
      <w:r w:rsidR="00802F95" w:rsidRPr="00B72DB6">
        <w:rPr>
          <w:sz w:val="20"/>
        </w:rPr>
        <w:t>–</w:t>
      </w:r>
      <w:r w:rsidR="00802F95">
        <w:rPr>
          <w:sz w:val="20"/>
        </w:rPr>
        <w:t>193, 2018.</w:t>
      </w:r>
    </w:p>
    <w:p w14:paraId="21ADFEEC" w14:textId="758AF0A4" w:rsidR="00B72DB6" w:rsidRDefault="00B72DB6" w:rsidP="00665C88">
      <w:pPr>
        <w:pStyle w:val="Els-keywords"/>
        <w:spacing w:after="120" w:line="240" w:lineRule="auto"/>
        <w:rPr>
          <w:sz w:val="20"/>
        </w:rPr>
      </w:pPr>
      <w:r>
        <w:rPr>
          <w:sz w:val="20"/>
        </w:rPr>
        <w:t>[4</w:t>
      </w:r>
      <w:r w:rsidR="00802F95" w:rsidRPr="00802F95">
        <w:rPr>
          <w:sz w:val="20"/>
        </w:rPr>
        <w:t>] M. D. P. T. Gunawan Puteri,</w:t>
      </w:r>
      <w:r w:rsidR="00802F95">
        <w:rPr>
          <w:sz w:val="20"/>
        </w:rPr>
        <w:t xml:space="preserve"> K. Samuel, Felycia, I. S. Kartawiria, C.H. Wijaya, “Potential Application of Overripe Tempe Dried Powder as Plant-Based Instant Stock”, Proceeding International Postgraduate Symposium on Food, Agriculture, and Biotechnology (IPSFAB), pp. 34</w:t>
      </w:r>
      <w:r w:rsidR="00802F95" w:rsidRPr="00B72DB6">
        <w:rPr>
          <w:sz w:val="20"/>
        </w:rPr>
        <w:t>–</w:t>
      </w:r>
      <w:r w:rsidR="00802F95">
        <w:rPr>
          <w:sz w:val="20"/>
        </w:rPr>
        <w:t>33, 2017.</w:t>
      </w:r>
    </w:p>
    <w:p w14:paraId="64C44E3E" w14:textId="6BE8788D" w:rsidR="00EF0890" w:rsidRDefault="00833A9B" w:rsidP="00833A9B">
      <w:pPr>
        <w:pStyle w:val="Els-keywords"/>
        <w:spacing w:after="120" w:line="240" w:lineRule="auto"/>
        <w:rPr>
          <w:sz w:val="20"/>
        </w:rPr>
      </w:pPr>
      <w:r>
        <w:rPr>
          <w:sz w:val="20"/>
        </w:rPr>
        <w:t>[</w:t>
      </w:r>
      <w:r w:rsidR="000B3D53">
        <w:rPr>
          <w:sz w:val="20"/>
        </w:rPr>
        <w:t>5</w:t>
      </w:r>
      <w:r>
        <w:rPr>
          <w:sz w:val="20"/>
        </w:rPr>
        <w:t xml:space="preserve">] </w:t>
      </w:r>
      <w:r w:rsidR="00EF0890">
        <w:rPr>
          <w:sz w:val="20"/>
        </w:rPr>
        <w:t>T. Gulati, A. K. Datta, “</w:t>
      </w:r>
      <w:r w:rsidR="00EF0890" w:rsidRPr="00EF0890">
        <w:rPr>
          <w:sz w:val="20"/>
        </w:rPr>
        <w:t xml:space="preserve">Mechanistic </w:t>
      </w:r>
      <w:r w:rsidR="00EF0890">
        <w:rPr>
          <w:sz w:val="20"/>
        </w:rPr>
        <w:t>U</w:t>
      </w:r>
      <w:r w:rsidR="00EF0890" w:rsidRPr="00EF0890">
        <w:rPr>
          <w:sz w:val="20"/>
        </w:rPr>
        <w:t xml:space="preserve">nderstanding of </w:t>
      </w:r>
      <w:r w:rsidR="00EF0890">
        <w:rPr>
          <w:sz w:val="20"/>
        </w:rPr>
        <w:t>C</w:t>
      </w:r>
      <w:r w:rsidR="00EF0890" w:rsidRPr="00EF0890">
        <w:rPr>
          <w:sz w:val="20"/>
        </w:rPr>
        <w:t>ase-</w:t>
      </w:r>
      <w:r w:rsidR="00EF0890">
        <w:rPr>
          <w:sz w:val="20"/>
        </w:rPr>
        <w:t>H</w:t>
      </w:r>
      <w:r w:rsidR="00EF0890" w:rsidRPr="00EF0890">
        <w:rPr>
          <w:sz w:val="20"/>
        </w:rPr>
        <w:t xml:space="preserve">ardening and </w:t>
      </w:r>
      <w:r w:rsidR="00EF0890">
        <w:rPr>
          <w:sz w:val="20"/>
        </w:rPr>
        <w:t>T</w:t>
      </w:r>
      <w:r w:rsidR="00EF0890" w:rsidRPr="00EF0890">
        <w:rPr>
          <w:sz w:val="20"/>
        </w:rPr>
        <w:t xml:space="preserve">exture </w:t>
      </w:r>
      <w:r w:rsidR="00EF0890">
        <w:rPr>
          <w:sz w:val="20"/>
        </w:rPr>
        <w:t>D</w:t>
      </w:r>
      <w:r w:rsidR="00EF0890" w:rsidRPr="00EF0890">
        <w:rPr>
          <w:sz w:val="20"/>
        </w:rPr>
        <w:t xml:space="preserve">evelopment during </w:t>
      </w:r>
      <w:r w:rsidR="00EF0890">
        <w:rPr>
          <w:sz w:val="20"/>
        </w:rPr>
        <w:t>D</w:t>
      </w:r>
      <w:r w:rsidR="00EF0890" w:rsidRPr="00EF0890">
        <w:rPr>
          <w:sz w:val="20"/>
        </w:rPr>
        <w:t xml:space="preserve">rying of </w:t>
      </w:r>
      <w:r w:rsidR="00EF0890">
        <w:rPr>
          <w:sz w:val="20"/>
        </w:rPr>
        <w:t>F</w:t>
      </w:r>
      <w:r w:rsidR="00EF0890" w:rsidRPr="00EF0890">
        <w:rPr>
          <w:sz w:val="20"/>
        </w:rPr>
        <w:t xml:space="preserve">ood </w:t>
      </w:r>
      <w:r w:rsidR="00EF0890">
        <w:rPr>
          <w:sz w:val="20"/>
        </w:rPr>
        <w:t>M</w:t>
      </w:r>
      <w:r w:rsidR="00EF0890" w:rsidRPr="00EF0890">
        <w:rPr>
          <w:sz w:val="20"/>
        </w:rPr>
        <w:t>aterials</w:t>
      </w:r>
      <w:r w:rsidR="00EF0890">
        <w:rPr>
          <w:sz w:val="20"/>
        </w:rPr>
        <w:t>”, J. Food Eng., Vol. 166, pp. 119</w:t>
      </w:r>
      <w:r w:rsidR="00EF0890" w:rsidRPr="00833A9B">
        <w:rPr>
          <w:sz w:val="20"/>
        </w:rPr>
        <w:t>–</w:t>
      </w:r>
      <w:r w:rsidR="00EF0890">
        <w:rPr>
          <w:sz w:val="20"/>
        </w:rPr>
        <w:t>138, 2015.</w:t>
      </w:r>
    </w:p>
    <w:p w14:paraId="7BC67066" w14:textId="685989FF" w:rsidR="003B0ABD" w:rsidRDefault="00F76934" w:rsidP="0078067E">
      <w:pPr>
        <w:pStyle w:val="Els-keywords"/>
        <w:spacing w:after="120" w:line="240" w:lineRule="auto"/>
        <w:rPr>
          <w:sz w:val="20"/>
        </w:rPr>
      </w:pPr>
      <w:r>
        <w:rPr>
          <w:sz w:val="20"/>
        </w:rPr>
        <w:t>[</w:t>
      </w:r>
      <w:r w:rsidR="000B3D53">
        <w:rPr>
          <w:sz w:val="20"/>
        </w:rPr>
        <w:t>6</w:t>
      </w:r>
      <w:r>
        <w:rPr>
          <w:sz w:val="20"/>
        </w:rPr>
        <w:t xml:space="preserve">] </w:t>
      </w:r>
      <w:r w:rsidR="00717ADF">
        <w:rPr>
          <w:sz w:val="20"/>
        </w:rPr>
        <w:t>T. R. Hassanein, E. K. Prabawati, M. D. P. T. Gunawan-Puteri, “</w:t>
      </w:r>
      <w:r w:rsidR="00717ADF" w:rsidRPr="00717ADF">
        <w:rPr>
          <w:sz w:val="20"/>
        </w:rPr>
        <w:t>Analysis</w:t>
      </w:r>
      <w:r w:rsidR="00717ADF">
        <w:rPr>
          <w:sz w:val="20"/>
        </w:rPr>
        <w:t xml:space="preserve"> </w:t>
      </w:r>
      <w:r w:rsidR="00717ADF" w:rsidRPr="00717ADF">
        <w:rPr>
          <w:sz w:val="20"/>
        </w:rPr>
        <w:t>of chemical and microbial changes during storage of overripe tempeh powder as</w:t>
      </w:r>
      <w:r w:rsidR="00717ADF">
        <w:rPr>
          <w:sz w:val="20"/>
        </w:rPr>
        <w:t xml:space="preserve"> </w:t>
      </w:r>
      <w:r w:rsidR="00717ADF" w:rsidRPr="00717ADF">
        <w:rPr>
          <w:sz w:val="20"/>
        </w:rPr>
        <w:t>seasoning materia</w:t>
      </w:r>
      <w:r w:rsidR="00717ADF">
        <w:rPr>
          <w:sz w:val="20"/>
        </w:rPr>
        <w:t>l. IJSE, Vol. 8, pp. 131</w:t>
      </w:r>
      <w:r w:rsidR="00717ADF" w:rsidRPr="00717ADF">
        <w:rPr>
          <w:sz w:val="20"/>
        </w:rPr>
        <w:t>–</w:t>
      </w:r>
      <w:r w:rsidR="00717ADF">
        <w:rPr>
          <w:sz w:val="20"/>
        </w:rPr>
        <w:t>134, 2015.</w:t>
      </w:r>
    </w:p>
    <w:p w14:paraId="1BBBD65A" w14:textId="26EA7E48" w:rsidR="000B3D53" w:rsidRDefault="000B3D53" w:rsidP="000B3D53">
      <w:pPr>
        <w:pStyle w:val="Els-keywords"/>
        <w:spacing w:after="120" w:line="240" w:lineRule="auto"/>
        <w:rPr>
          <w:sz w:val="20"/>
        </w:rPr>
      </w:pPr>
      <w:r>
        <w:rPr>
          <w:sz w:val="20"/>
        </w:rPr>
        <w:t>[</w:t>
      </w:r>
      <w:r>
        <w:rPr>
          <w:sz w:val="20"/>
        </w:rPr>
        <w:t>7</w:t>
      </w:r>
      <w:r>
        <w:rPr>
          <w:sz w:val="20"/>
        </w:rPr>
        <w:t>] R. A. Lipasek, J. C. Ortiz, L. S. Taylor, L. J. Mauer, “Effects of Anticaking Agents and Storage Conditions on the Moisture Sorption, Caking, and Flowability of Deliquescent Ingredients”, Food Res. Int., Vol. 45, pp. 369</w:t>
      </w:r>
      <w:r w:rsidRPr="00B72DB6">
        <w:rPr>
          <w:sz w:val="20"/>
        </w:rPr>
        <w:t>–</w:t>
      </w:r>
      <w:r>
        <w:rPr>
          <w:sz w:val="20"/>
        </w:rPr>
        <w:t>380, 2012.</w:t>
      </w:r>
    </w:p>
    <w:p w14:paraId="101AE87B" w14:textId="1F9201B0" w:rsidR="000B3D53" w:rsidRDefault="000B3D53" w:rsidP="000B3D53">
      <w:pPr>
        <w:pStyle w:val="Els-keywords"/>
        <w:spacing w:after="120" w:line="240" w:lineRule="auto"/>
        <w:rPr>
          <w:sz w:val="20"/>
        </w:rPr>
      </w:pPr>
      <w:r>
        <w:rPr>
          <w:sz w:val="20"/>
        </w:rPr>
        <w:lastRenderedPageBreak/>
        <w:t>[</w:t>
      </w:r>
      <w:r>
        <w:rPr>
          <w:sz w:val="20"/>
        </w:rPr>
        <w:t>8</w:t>
      </w:r>
      <w:r>
        <w:rPr>
          <w:sz w:val="20"/>
        </w:rPr>
        <w:t>] S. A. Fortunata, C. H. Wijaya, N. E. Suyatma, M. D. P. T. G. Puteri, “</w:t>
      </w:r>
      <w:r w:rsidRPr="00833A9B">
        <w:rPr>
          <w:sz w:val="20"/>
        </w:rPr>
        <w:t>Impact of Size Reduction, Drying Temperature, and Drying Time on Overripe Tempe Powder Quality Parameters</w:t>
      </w:r>
      <w:r>
        <w:rPr>
          <w:sz w:val="20"/>
        </w:rPr>
        <w:t>”, IJTech, Vol. 16, No. 6, pp. 2084</w:t>
      </w:r>
      <w:r w:rsidRPr="00833A9B">
        <w:rPr>
          <w:sz w:val="20"/>
        </w:rPr>
        <w:t>–</w:t>
      </w:r>
      <w:r>
        <w:rPr>
          <w:sz w:val="20"/>
        </w:rPr>
        <w:t>2100, 2025.</w:t>
      </w:r>
    </w:p>
    <w:p w14:paraId="541DF138" w14:textId="77777777" w:rsidR="000B3D53" w:rsidRPr="000B3D53" w:rsidRDefault="000B3D53" w:rsidP="000B3D53">
      <w:pPr>
        <w:rPr>
          <w:b/>
          <w:bCs/>
          <w:lang w:val="en-US"/>
        </w:rPr>
      </w:pPr>
    </w:p>
    <w:sectPr w:rsidR="000B3D53" w:rsidRPr="000B3D53"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B5D0" w14:textId="77777777" w:rsidR="00BF178C" w:rsidRDefault="00BF178C" w:rsidP="00431340">
      <w:pPr>
        <w:spacing w:after="0" w:line="240" w:lineRule="auto"/>
      </w:pPr>
      <w:r>
        <w:separator/>
      </w:r>
    </w:p>
  </w:endnote>
  <w:endnote w:type="continuationSeparator" w:id="0">
    <w:p w14:paraId="6D588B56" w14:textId="77777777" w:rsidR="00BF178C" w:rsidRDefault="00BF178C"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14C7D" w14:textId="77777777" w:rsidR="00BF178C" w:rsidRDefault="00BF178C" w:rsidP="00431340">
      <w:pPr>
        <w:spacing w:after="0" w:line="240" w:lineRule="auto"/>
      </w:pPr>
      <w:r>
        <w:separator/>
      </w:r>
    </w:p>
  </w:footnote>
  <w:footnote w:type="continuationSeparator" w:id="0">
    <w:p w14:paraId="4B28466B" w14:textId="77777777" w:rsidR="00BF178C" w:rsidRDefault="00BF178C" w:rsidP="00431340">
      <w:pPr>
        <w:spacing w:after="0" w:line="240" w:lineRule="auto"/>
      </w:pPr>
      <w:r>
        <w:continuationSeparator/>
      </w:r>
    </w:p>
  </w:footnote>
  <w:footnote w:id="1">
    <w:p w14:paraId="1DA89215" w14:textId="71F69F03"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F97848">
        <w:rPr>
          <w:sz w:val="18"/>
          <w:szCs w:val="18"/>
          <w:lang w:val="nb-NO"/>
        </w:rPr>
        <w:t>maria.gunawanputeri</w:t>
      </w:r>
      <w:r w:rsidR="00EC776A">
        <w:rPr>
          <w:sz w:val="18"/>
          <w:szCs w:val="18"/>
          <w:lang w:val="nb-NO"/>
        </w:rPr>
        <w:t>@sgu.ac.id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22FFB"/>
    <w:rsid w:val="00073273"/>
    <w:rsid w:val="000B3083"/>
    <w:rsid w:val="000B3D53"/>
    <w:rsid w:val="000C5F56"/>
    <w:rsid w:val="001A7896"/>
    <w:rsid w:val="001C51B3"/>
    <w:rsid w:val="00234209"/>
    <w:rsid w:val="002537DA"/>
    <w:rsid w:val="00294A0D"/>
    <w:rsid w:val="002A0A1C"/>
    <w:rsid w:val="002A2B3C"/>
    <w:rsid w:val="003044E0"/>
    <w:rsid w:val="003205BD"/>
    <w:rsid w:val="00372579"/>
    <w:rsid w:val="003A0637"/>
    <w:rsid w:val="003B0ABD"/>
    <w:rsid w:val="004175D6"/>
    <w:rsid w:val="00431340"/>
    <w:rsid w:val="004315B4"/>
    <w:rsid w:val="00431F34"/>
    <w:rsid w:val="004820AB"/>
    <w:rsid w:val="004A24F4"/>
    <w:rsid w:val="004B7E87"/>
    <w:rsid w:val="004C7508"/>
    <w:rsid w:val="004D1125"/>
    <w:rsid w:val="00534FA5"/>
    <w:rsid w:val="0059506C"/>
    <w:rsid w:val="005B77D8"/>
    <w:rsid w:val="005F0512"/>
    <w:rsid w:val="00646E7D"/>
    <w:rsid w:val="00654033"/>
    <w:rsid w:val="00665C88"/>
    <w:rsid w:val="00673656"/>
    <w:rsid w:val="006D3652"/>
    <w:rsid w:val="0070599D"/>
    <w:rsid w:val="00717ADF"/>
    <w:rsid w:val="00746240"/>
    <w:rsid w:val="007679DD"/>
    <w:rsid w:val="00772B06"/>
    <w:rsid w:val="007752C7"/>
    <w:rsid w:val="00775515"/>
    <w:rsid w:val="00777544"/>
    <w:rsid w:val="0078067E"/>
    <w:rsid w:val="00781D43"/>
    <w:rsid w:val="007B5110"/>
    <w:rsid w:val="00802F95"/>
    <w:rsid w:val="00827794"/>
    <w:rsid w:val="00833A9B"/>
    <w:rsid w:val="008637E3"/>
    <w:rsid w:val="008A6A5B"/>
    <w:rsid w:val="0093269B"/>
    <w:rsid w:val="009349A9"/>
    <w:rsid w:val="009A7DEC"/>
    <w:rsid w:val="009C71BA"/>
    <w:rsid w:val="00A2350F"/>
    <w:rsid w:val="00A378EA"/>
    <w:rsid w:val="00A81533"/>
    <w:rsid w:val="00AA1130"/>
    <w:rsid w:val="00AC0505"/>
    <w:rsid w:val="00B72DB6"/>
    <w:rsid w:val="00BA0287"/>
    <w:rsid w:val="00BE265A"/>
    <w:rsid w:val="00BF178C"/>
    <w:rsid w:val="00BF77A7"/>
    <w:rsid w:val="00C17F75"/>
    <w:rsid w:val="00C42A35"/>
    <w:rsid w:val="00C4616B"/>
    <w:rsid w:val="00C67487"/>
    <w:rsid w:val="00C83CD5"/>
    <w:rsid w:val="00CA1938"/>
    <w:rsid w:val="00CA7E28"/>
    <w:rsid w:val="00CC179B"/>
    <w:rsid w:val="00D10E69"/>
    <w:rsid w:val="00D753D4"/>
    <w:rsid w:val="00DA0AE5"/>
    <w:rsid w:val="00DA1938"/>
    <w:rsid w:val="00DD4FF9"/>
    <w:rsid w:val="00E02BCD"/>
    <w:rsid w:val="00E8687D"/>
    <w:rsid w:val="00EC776A"/>
    <w:rsid w:val="00ED3800"/>
    <w:rsid w:val="00EF0890"/>
    <w:rsid w:val="00F046F1"/>
    <w:rsid w:val="00F14397"/>
    <w:rsid w:val="00F2178E"/>
    <w:rsid w:val="00F26441"/>
    <w:rsid w:val="00F55548"/>
    <w:rsid w:val="00F76934"/>
    <w:rsid w:val="00F94C39"/>
    <w:rsid w:val="00F978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6D657018-B594-46B6-9ADB-B768A343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3649</Characters>
  <Application>Microsoft Office Word</Application>
  <DocSecurity>0</DocSecurity>
  <Lines>30</Lines>
  <Paragraphs>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Macbook PRO K5</cp:lastModifiedBy>
  <cp:revision>2</cp:revision>
  <dcterms:created xsi:type="dcterms:W3CDTF">2026-04-16T01:08:00Z</dcterms:created>
  <dcterms:modified xsi:type="dcterms:W3CDTF">2026-04-16T01:08:00Z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