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511568A2" w:rsidR="00431340" w:rsidRPr="00C67487" w:rsidRDefault="00FF7B18" w:rsidP="00C67487">
      <w:pPr>
        <w:pStyle w:val="Els-Title"/>
      </w:pPr>
      <w:r w:rsidRPr="00FF7B18">
        <w:t>Interfacial behavior and gastrointestinal delivery of lutein ester in oil-in-water emulsions stabilized by cricket protein</w:t>
      </w:r>
    </w:p>
    <w:p w14:paraId="5E774EED" w14:textId="2037AD89" w:rsidR="00673656" w:rsidRPr="00D6675E" w:rsidRDefault="00FF7B18" w:rsidP="00673656">
      <w:pPr>
        <w:pStyle w:val="Els-Author"/>
        <w:ind w:right="2"/>
        <w:rPr>
          <w:sz w:val="24"/>
          <w:szCs w:val="24"/>
          <w:lang w:eastAsia="zh-CN"/>
        </w:rPr>
      </w:pPr>
      <w:r>
        <w:rPr>
          <w:rFonts w:hint="eastAsia"/>
          <w:sz w:val="24"/>
          <w:szCs w:val="24"/>
          <w:lang w:val="nb-NO" w:eastAsia="zh-CN"/>
        </w:rPr>
        <w:t>Lijun Liu</w:t>
      </w:r>
      <w:r w:rsidR="00C67487" w:rsidRPr="009C71BA">
        <w:rPr>
          <w:sz w:val="24"/>
          <w:szCs w:val="24"/>
          <w:vertAlign w:val="superscript"/>
          <w:lang w:val="nb-NO"/>
        </w:rPr>
        <w:t>a</w:t>
      </w:r>
      <w:r w:rsidR="00673656" w:rsidRPr="009C71BA">
        <w:rPr>
          <w:sz w:val="24"/>
          <w:szCs w:val="24"/>
          <w:lang w:val="nb-NO"/>
        </w:rPr>
        <w:t xml:space="preserve">, </w:t>
      </w:r>
      <w:r>
        <w:rPr>
          <w:rFonts w:hint="eastAsia"/>
          <w:sz w:val="24"/>
          <w:szCs w:val="24"/>
          <w:lang w:val="nb-NO" w:eastAsia="zh-CN"/>
        </w:rPr>
        <w:t>Mengjie Zhu</w:t>
      </w:r>
      <w:bookmarkStart w:id="0" w:name="OLE_LINK1"/>
      <w:r w:rsidR="00673656" w:rsidRPr="009C71BA">
        <w:rPr>
          <w:sz w:val="24"/>
          <w:szCs w:val="24"/>
          <w:vertAlign w:val="superscript"/>
          <w:lang w:val="nb-NO"/>
        </w:rPr>
        <w:t>b</w:t>
      </w:r>
      <w:bookmarkEnd w:id="0"/>
      <w:r>
        <w:rPr>
          <w:rFonts w:hint="eastAsia"/>
          <w:sz w:val="24"/>
          <w:szCs w:val="24"/>
          <w:lang w:val="nb-NO" w:eastAsia="zh-CN"/>
        </w:rPr>
        <w:t>, Liqiang Zou</w:t>
      </w:r>
      <w:r w:rsidRPr="009C71BA">
        <w:rPr>
          <w:sz w:val="24"/>
          <w:szCs w:val="24"/>
          <w:vertAlign w:val="superscript"/>
          <w:lang w:val="nb-NO"/>
        </w:rPr>
        <w:t>b</w:t>
      </w:r>
      <w:r>
        <w:rPr>
          <w:rFonts w:hint="eastAsia"/>
          <w:sz w:val="24"/>
          <w:szCs w:val="24"/>
          <w:lang w:val="nb-NO" w:eastAsia="zh-CN"/>
        </w:rPr>
        <w:t>, Hui Ye</w:t>
      </w:r>
      <w:r w:rsidRPr="009C71BA">
        <w:rPr>
          <w:sz w:val="24"/>
          <w:szCs w:val="24"/>
          <w:vertAlign w:val="superscript"/>
          <w:lang w:val="nb-NO"/>
        </w:rPr>
        <w:t>a</w:t>
      </w:r>
      <w:r w:rsidR="00D6675E" w:rsidRPr="009C71BA">
        <w:rPr>
          <w:sz w:val="24"/>
          <w:szCs w:val="24"/>
          <w:vertAlign w:val="superscript"/>
        </w:rPr>
        <w:footnoteReference w:id="1"/>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652CE03F" w14:textId="627AA200" w:rsidR="00431340" w:rsidRPr="00234209" w:rsidRDefault="004C7508" w:rsidP="00234209">
      <w:pPr>
        <w:pStyle w:val="Els-Affiliation"/>
        <w:rPr>
          <w:iCs/>
        </w:rPr>
      </w:pPr>
      <w:r>
        <w:rPr>
          <w:vertAlign w:val="superscript"/>
          <w:lang w:val="nb-NO"/>
        </w:rPr>
        <w:t>a</w:t>
      </w:r>
      <w:r w:rsidRPr="00234209">
        <w:rPr>
          <w:lang w:val="nb-NO"/>
        </w:rPr>
        <w:t xml:space="preserve"> </w:t>
      </w:r>
      <w:r w:rsidR="0060746B" w:rsidRPr="0060746B">
        <w:rPr>
          <w:lang w:val="nb-NO"/>
        </w:rPr>
        <w:t>School of Chemistry, Chemical Engineering and Biotechnology, Nanyang Technological University, Singapore</w:t>
      </w:r>
      <w:r w:rsidRPr="00234209">
        <w:rPr>
          <w:lang w:val="nb-NO"/>
        </w:rPr>
        <w:t xml:space="preserve"> </w:t>
      </w:r>
    </w:p>
    <w:p w14:paraId="05A3C6FA" w14:textId="7AF7E12D" w:rsidR="00431340" w:rsidRDefault="00234209" w:rsidP="00431340">
      <w:pPr>
        <w:pStyle w:val="Els-Affiliation"/>
        <w:spacing w:after="400"/>
        <w:rPr>
          <w:lang w:eastAsia="zh-CN"/>
        </w:rPr>
      </w:pPr>
      <w:r w:rsidRPr="00234209">
        <w:rPr>
          <w:vertAlign w:val="superscript"/>
          <w:lang w:val="nb-NO"/>
        </w:rPr>
        <w:t>b</w:t>
      </w:r>
      <w:r w:rsidRPr="00234209">
        <w:rPr>
          <w:lang w:val="nb-NO"/>
        </w:rPr>
        <w:t xml:space="preserve"> </w:t>
      </w:r>
      <w:r w:rsidR="0060746B" w:rsidRPr="00C64B3A">
        <w:rPr>
          <w:rStyle w:val="normaltextrun"/>
          <w:rFonts w:ascii="Calibri" w:hAnsi="Calibri" w:cs="Calibri"/>
        </w:rPr>
        <w:t>State Key Laboratory of Food Science and Technology, Nanchang University, Nanchang 330047, China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56CCE916" w14:textId="5DDF3025" w:rsidR="004C7508" w:rsidRPr="003B0106" w:rsidRDefault="003B0106" w:rsidP="00665C88">
      <w:pPr>
        <w:pStyle w:val="Els-Abstract-head"/>
        <w:spacing w:before="120" w:after="0" w:line="240" w:lineRule="auto"/>
        <w:jc w:val="both"/>
        <w:rPr>
          <w:b w:val="0"/>
          <w:sz w:val="20"/>
        </w:rPr>
      </w:pPr>
      <w:r w:rsidRPr="003B0106">
        <w:rPr>
          <w:b w:val="0"/>
          <w:sz w:val="20"/>
        </w:rPr>
        <w:t>Cricket protein (CRP) has emerged as a potential sustainable emulsifier, yet its delivery performance and interfacial behavior in comparison to traditional dairy proteins remain unclear</w:t>
      </w:r>
      <w:r w:rsidR="003B0357">
        <w:rPr>
          <w:rFonts w:hint="eastAsia"/>
          <w:b w:val="0"/>
          <w:sz w:val="20"/>
          <w:lang w:eastAsia="zh-CN"/>
        </w:rPr>
        <w:t xml:space="preserve"> [1-3]</w:t>
      </w:r>
      <w:r w:rsidRPr="003B0106">
        <w:rPr>
          <w:b w:val="0"/>
          <w:sz w:val="20"/>
        </w:rPr>
        <w:t xml:space="preserve">. This study assessed CRP extracted by alkaline solubilization-isoelectric precipitation as an emulsifier for the delivery of lutein ester (LE) and compared it to casein. Compared to casein, CRP exhibited higher surface hydrophobicity, but it decreased interfacial tension more slowly, indicating strong amphiphilicity with limited conformational change at the oil-water interface. Increasing the CRP concentration (1-3%, w/w) led to progressively smaller droplet sizes, narrower size distributions, and higher absolute ζ-potential values, resulting in emulsion stability comparable to that of 3% casein. When </w:t>
      </w:r>
      <w:proofErr w:type="gramStart"/>
      <w:r w:rsidRPr="003B0106">
        <w:rPr>
          <w:b w:val="0"/>
          <w:sz w:val="20"/>
        </w:rPr>
        <w:t>concentrations ≥ 2</w:t>
      </w:r>
      <w:proofErr w:type="gramEnd"/>
      <w:r w:rsidRPr="003B0106">
        <w:rPr>
          <w:b w:val="0"/>
          <w:sz w:val="20"/>
        </w:rPr>
        <w:t xml:space="preserve">%, CRP-stabilized emulsions demonstrated strong resistance to centrifugal, thermal, pH, and ionic stresses. The photochemical and oxidative stability of lutein ester (LE) was significantly enhanced by CRP-based emulsions. Furthermore, a CRP concentration-dependent increase in LE </w:t>
      </w:r>
      <w:proofErr w:type="spellStart"/>
      <w:r w:rsidRPr="003B0106">
        <w:rPr>
          <w:b w:val="0"/>
          <w:sz w:val="20"/>
        </w:rPr>
        <w:t>bioaccessibility</w:t>
      </w:r>
      <w:proofErr w:type="spellEnd"/>
      <w:r w:rsidRPr="003B0106">
        <w:rPr>
          <w:b w:val="0"/>
          <w:sz w:val="20"/>
        </w:rPr>
        <w:t xml:space="preserve"> (10-33%) was shown by INFOGEST digestion, which was comparable to that obtained with </w:t>
      </w:r>
      <w:proofErr w:type="gramStart"/>
      <w:r w:rsidRPr="003B0106">
        <w:rPr>
          <w:b w:val="0"/>
          <w:sz w:val="20"/>
        </w:rPr>
        <w:t>casein</w:t>
      </w:r>
      <w:proofErr w:type="gramEnd"/>
      <w:r w:rsidRPr="003B0106">
        <w:rPr>
          <w:b w:val="0"/>
          <w:sz w:val="20"/>
        </w:rPr>
        <w:t xml:space="preserve">-based emulsions (38%). Further evidence for improved gastrointestinal transit of LE from CRP emulsions came </w:t>
      </w:r>
      <w:proofErr w:type="gramStart"/>
      <w:r w:rsidRPr="003B0106">
        <w:rPr>
          <w:b w:val="0"/>
          <w:sz w:val="20"/>
        </w:rPr>
        <w:t>from in</w:t>
      </w:r>
      <w:proofErr w:type="gramEnd"/>
      <w:r w:rsidRPr="003B0106">
        <w:rPr>
          <w:b w:val="0"/>
          <w:sz w:val="20"/>
        </w:rPr>
        <w:t xml:space="preserve"> vivo fluorescence imaging. Overall, these findings emphasize the potential application of cricket protein in bioactive delivery systems by showing that it can create efficient interfacial structures for stabilizing emulsions and regulating the gastrointestinal distribution of lipophilic </w:t>
      </w:r>
      <w:proofErr w:type="spellStart"/>
      <w:proofErr w:type="gramStart"/>
      <w:r w:rsidRPr="003B0106">
        <w:rPr>
          <w:b w:val="0"/>
          <w:sz w:val="20"/>
        </w:rPr>
        <w:t>bioactives</w:t>
      </w:r>
      <w:proofErr w:type="spellEnd"/>
      <w:r w:rsidRPr="003B0106">
        <w:rPr>
          <w:b w:val="0"/>
          <w:sz w:val="20"/>
        </w:rPr>
        <w:t>.</w:t>
      </w:r>
      <w:r w:rsidR="004C7508" w:rsidRPr="003B0106">
        <w:rPr>
          <w:b w:val="0"/>
          <w:sz w:val="20"/>
        </w:rPr>
        <w:t>.</w:t>
      </w:r>
      <w:proofErr w:type="gramEnd"/>
      <w:r w:rsidR="004C7508" w:rsidRPr="003B0106">
        <w:rPr>
          <w:b w:val="0"/>
          <w:sz w:val="20"/>
        </w:rPr>
        <w:t xml:space="preserve"> </w:t>
      </w:r>
    </w:p>
    <w:p w14:paraId="7687299F" w14:textId="77777777" w:rsidR="007679DD" w:rsidRPr="0078067E" w:rsidRDefault="007679DD" w:rsidP="007679DD">
      <w:pPr>
        <w:rPr>
          <w:rFonts w:ascii="Times New Roman" w:hAnsi="Times New Roman" w:cs="Times New Roman"/>
          <w:sz w:val="20"/>
          <w:szCs w:val="20"/>
          <w:lang w:val="en-US" w:eastAsia="zh-CN"/>
        </w:rPr>
      </w:pPr>
    </w:p>
    <w:p w14:paraId="0AE07FD0" w14:textId="77777777" w:rsidR="002A0A1C" w:rsidRPr="00C67487" w:rsidRDefault="002A0A1C" w:rsidP="004826C2">
      <w:pPr>
        <w:pStyle w:val="Els-keywords"/>
        <w:pBdr>
          <w:bottom w:val="single" w:sz="4" w:space="0" w:color="auto"/>
        </w:pBdr>
        <w:spacing w:after="120" w:line="240" w:lineRule="auto"/>
        <w:rPr>
          <w:b/>
          <w:sz w:val="20"/>
        </w:rPr>
      </w:pPr>
      <w:r w:rsidRPr="00C67487">
        <w:rPr>
          <w:b/>
          <w:sz w:val="20"/>
        </w:rPr>
        <w:t>References</w:t>
      </w:r>
    </w:p>
    <w:p w14:paraId="2E6427C7" w14:textId="6C346993" w:rsidR="00DA2EE8" w:rsidRPr="00DA2EE8" w:rsidRDefault="00DA2EE8" w:rsidP="004826C2">
      <w:pPr>
        <w:pStyle w:val="Els-keywords"/>
        <w:pBdr>
          <w:bottom w:val="single" w:sz="4" w:space="0" w:color="auto"/>
        </w:pBdr>
        <w:spacing w:after="120" w:line="240" w:lineRule="auto"/>
        <w:rPr>
          <w:sz w:val="20"/>
        </w:rPr>
      </w:pPr>
      <w:r w:rsidRPr="00DA2EE8">
        <w:rPr>
          <w:sz w:val="20"/>
        </w:rPr>
        <w:t>[1] S. Aprile, N. Baldino, O. Mileti, F. R. Lupi, "Cricket isolates as ingredients to design protein foods: Functional, structural and interfacial properties" Innovative Food Science &amp; Emerging Technologies., Vol. 102, pp. 104013, 2025</w:t>
      </w:r>
    </w:p>
    <w:p w14:paraId="5356CD64" w14:textId="77777777" w:rsidR="00DA2EE8" w:rsidRPr="00DA2EE8" w:rsidRDefault="00DA2EE8" w:rsidP="004826C2">
      <w:pPr>
        <w:pStyle w:val="Els-keywords"/>
        <w:pBdr>
          <w:bottom w:val="single" w:sz="4" w:space="0" w:color="auto"/>
        </w:pBdr>
        <w:spacing w:after="120" w:line="240" w:lineRule="auto"/>
        <w:rPr>
          <w:sz w:val="20"/>
        </w:rPr>
      </w:pPr>
      <w:r w:rsidRPr="00DA2EE8">
        <w:rPr>
          <w:sz w:val="20"/>
        </w:rPr>
        <w:t>[2] M. A. Ayieko, H. J. Ogola, I. A. Ayieko, "Introducing rearing crickets (gryllids) at household levels: adoption, processing and nutritional values" Journal of Insects as Food and Feed., Vol. 2, pp. 203–12, 2016</w:t>
      </w:r>
    </w:p>
    <w:p w14:paraId="04E53378" w14:textId="441255D6" w:rsidR="008F170E" w:rsidRPr="004826C2" w:rsidRDefault="00DA2EE8" w:rsidP="004826C2">
      <w:pPr>
        <w:pStyle w:val="Els-keywords"/>
        <w:pBdr>
          <w:bottom w:val="single" w:sz="4" w:space="0" w:color="auto"/>
        </w:pBdr>
        <w:spacing w:after="120" w:line="240" w:lineRule="auto"/>
        <w:rPr>
          <w:sz w:val="20"/>
        </w:rPr>
      </w:pPr>
      <w:r w:rsidRPr="00DA2EE8">
        <w:rPr>
          <w:sz w:val="20"/>
        </w:rPr>
        <w:t>[3] T. David-Birman, G. Raften, U. Lesmes, “Effects of thermal treatments on the colloidal properties, antioxidant capacity and in-vitro proteolytic degradation of cricket flour” Food Hydrocolloids, Vol. 79, pp. 48–54, 2018.</w:t>
      </w:r>
    </w:p>
    <w:sectPr w:rsidR="008F170E" w:rsidRPr="004826C2"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E9CC7" w14:textId="77777777" w:rsidR="00C73716" w:rsidRDefault="00C73716" w:rsidP="00431340">
      <w:pPr>
        <w:spacing w:after="0" w:line="240" w:lineRule="auto"/>
      </w:pPr>
      <w:r>
        <w:separator/>
      </w:r>
    </w:p>
  </w:endnote>
  <w:endnote w:type="continuationSeparator" w:id="0">
    <w:p w14:paraId="0FD95846" w14:textId="77777777" w:rsidR="00C73716" w:rsidRDefault="00C73716"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D76B8" w14:textId="77777777" w:rsidR="00C73716" w:rsidRDefault="00C73716" w:rsidP="00431340">
      <w:pPr>
        <w:spacing w:after="0" w:line="240" w:lineRule="auto"/>
      </w:pPr>
      <w:r>
        <w:separator/>
      </w:r>
    </w:p>
  </w:footnote>
  <w:footnote w:type="continuationSeparator" w:id="0">
    <w:p w14:paraId="4FA51DDF" w14:textId="77777777" w:rsidR="00C73716" w:rsidRDefault="00C73716" w:rsidP="00431340">
      <w:pPr>
        <w:spacing w:after="0" w:line="240" w:lineRule="auto"/>
      </w:pPr>
      <w:r>
        <w:continuationSeparator/>
      </w:r>
    </w:p>
  </w:footnote>
  <w:footnote w:id="1">
    <w:p w14:paraId="13091812" w14:textId="40D732A4" w:rsidR="00D6675E" w:rsidRPr="00BF77A7" w:rsidRDefault="00D6675E" w:rsidP="00D6675E">
      <w:pPr>
        <w:pStyle w:val="Els-footnote"/>
        <w:ind w:firstLine="120"/>
        <w:rPr>
          <w:sz w:val="18"/>
          <w:szCs w:val="18"/>
        </w:rPr>
      </w:pPr>
      <w:r w:rsidRPr="00BF77A7">
        <w:rPr>
          <w:sz w:val="18"/>
          <w:szCs w:val="18"/>
        </w:rPr>
        <w:t xml:space="preserve">* </w:t>
      </w:r>
      <w:bookmarkStart w:id="1" w:name="_Hlk211087958"/>
      <w:bookmarkStart w:id="2" w:name="_Hlk211087959"/>
      <w:bookmarkStart w:id="3" w:name="_Hlk211088033"/>
      <w:bookmarkStart w:id="4"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1"/>
      <w:bookmarkEnd w:id="2"/>
      <w:bookmarkEnd w:id="3"/>
      <w:bookmarkEnd w:id="4"/>
      <w:r w:rsidRPr="00D6675E">
        <w:rPr>
          <w:sz w:val="18"/>
          <w:szCs w:val="18"/>
          <w:lang w:val="nb-NO"/>
        </w:rPr>
        <w:t>ye.hui@ntu.edu.sg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65373"/>
    <w:rsid w:val="001C51B3"/>
    <w:rsid w:val="001C5F84"/>
    <w:rsid w:val="00234209"/>
    <w:rsid w:val="002537DA"/>
    <w:rsid w:val="002A0A1C"/>
    <w:rsid w:val="002A2B3C"/>
    <w:rsid w:val="00372579"/>
    <w:rsid w:val="003B0106"/>
    <w:rsid w:val="003B0357"/>
    <w:rsid w:val="003B0ABD"/>
    <w:rsid w:val="003B4BCC"/>
    <w:rsid w:val="00431340"/>
    <w:rsid w:val="004826C2"/>
    <w:rsid w:val="004B7E87"/>
    <w:rsid w:val="004C169F"/>
    <w:rsid w:val="004C7508"/>
    <w:rsid w:val="004D1125"/>
    <w:rsid w:val="00592A50"/>
    <w:rsid w:val="0059506C"/>
    <w:rsid w:val="005B77D8"/>
    <w:rsid w:val="0060746B"/>
    <w:rsid w:val="00646E7D"/>
    <w:rsid w:val="00654033"/>
    <w:rsid w:val="00665C88"/>
    <w:rsid w:val="00673656"/>
    <w:rsid w:val="006D3652"/>
    <w:rsid w:val="0070599D"/>
    <w:rsid w:val="007679DD"/>
    <w:rsid w:val="00772B06"/>
    <w:rsid w:val="007752C7"/>
    <w:rsid w:val="0078067E"/>
    <w:rsid w:val="00781D43"/>
    <w:rsid w:val="00827794"/>
    <w:rsid w:val="008F170E"/>
    <w:rsid w:val="009C71BA"/>
    <w:rsid w:val="009D5034"/>
    <w:rsid w:val="00BE265A"/>
    <w:rsid w:val="00BF77A7"/>
    <w:rsid w:val="00C17F75"/>
    <w:rsid w:val="00C4616B"/>
    <w:rsid w:val="00C67487"/>
    <w:rsid w:val="00C73716"/>
    <w:rsid w:val="00CC179B"/>
    <w:rsid w:val="00D10E69"/>
    <w:rsid w:val="00D6675E"/>
    <w:rsid w:val="00D753D4"/>
    <w:rsid w:val="00DA2EE8"/>
    <w:rsid w:val="00DD4FF9"/>
    <w:rsid w:val="00E10B43"/>
    <w:rsid w:val="00E77DE8"/>
    <w:rsid w:val="00F55548"/>
    <w:rsid w:val="00FF7B1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 w:type="character" w:customStyle="1" w:styleId="normaltextrun">
    <w:name w:val="normaltextrun"/>
    <w:basedOn w:val="a0"/>
    <w:rsid w:val="0060746B"/>
  </w:style>
  <w:style w:type="character" w:styleId="a7">
    <w:name w:val="Hyperlink"/>
    <w:basedOn w:val="a0"/>
    <w:uiPriority w:val="99"/>
    <w:unhideWhenUsed/>
    <w:rsid w:val="00D6675E"/>
    <w:rPr>
      <w:color w:val="0563C1" w:themeColor="hyperlink"/>
      <w:u w:val="single"/>
    </w:rPr>
  </w:style>
  <w:style w:type="character" w:styleId="a8">
    <w:name w:val="Unresolved Mention"/>
    <w:basedOn w:val="a0"/>
    <w:uiPriority w:val="99"/>
    <w:semiHidden/>
    <w:unhideWhenUsed/>
    <w:rsid w:val="00D6675E"/>
    <w:rPr>
      <w:color w:val="605E5C"/>
      <w:shd w:val="clear" w:color="auto" w:fill="E1DFDD"/>
    </w:rPr>
  </w:style>
  <w:style w:type="paragraph" w:styleId="a9">
    <w:name w:val="Bibliography"/>
    <w:basedOn w:val="a"/>
    <w:next w:val="a"/>
    <w:uiPriority w:val="37"/>
    <w:unhideWhenUsed/>
    <w:rsid w:val="008F170E"/>
    <w:pPr>
      <w:tabs>
        <w:tab w:val="left" w:pos="384"/>
      </w:tabs>
      <w:spacing w:after="240" w:line="240" w:lineRule="auto"/>
      <w:ind w:left="384" w:hanging="384"/>
    </w:pPr>
  </w:style>
  <w:style w:type="paragraph" w:styleId="aa">
    <w:name w:val="footnote text"/>
    <w:basedOn w:val="a"/>
    <w:link w:val="ab"/>
    <w:uiPriority w:val="99"/>
    <w:semiHidden/>
    <w:unhideWhenUsed/>
    <w:rsid w:val="008F170E"/>
    <w:pPr>
      <w:snapToGrid w:val="0"/>
    </w:pPr>
    <w:rPr>
      <w:sz w:val="18"/>
      <w:szCs w:val="18"/>
    </w:rPr>
  </w:style>
  <w:style w:type="character" w:customStyle="1" w:styleId="ab">
    <w:name w:val="脚注文本 字符"/>
    <w:basedOn w:val="a0"/>
    <w:link w:val="aa"/>
    <w:uiPriority w:val="99"/>
    <w:semiHidden/>
    <w:rsid w:val="008F170E"/>
    <w:rPr>
      <w:sz w:val="18"/>
      <w:szCs w:val="18"/>
    </w:rPr>
  </w:style>
  <w:style w:type="character" w:styleId="ac">
    <w:name w:val="footnote reference"/>
    <w:basedOn w:val="a0"/>
    <w:uiPriority w:val="99"/>
    <w:semiHidden/>
    <w:unhideWhenUsed/>
    <w:rsid w:val="008F17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411</Words>
  <Characters>2343</Characters>
  <Application>Microsoft Office Word</Application>
  <DocSecurity>0</DocSecurity>
  <Lines>19</Lines>
  <Paragraphs>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栗君 刘</cp:lastModifiedBy>
  <cp:revision>5</cp:revision>
  <dcterms:created xsi:type="dcterms:W3CDTF">2026-02-04T06:37:00Z</dcterms:created>
  <dcterms:modified xsi:type="dcterms:W3CDTF">2026-04-17T08:29:00Z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ZOTERO_PREF_1">
    <vt:lpwstr>&lt;data data-version="3" zotero-version="7.0.13"&gt;&lt;session id="IYytsV2q"/&gt;&lt;style id="http://www.zotero.org/styles/2d-materials" hasBibliography="1" bibliographyStyleHasBeenSet="1"/&gt;&lt;prefs&gt;&lt;pref name="fieldType" value="Field"/&gt;&lt;/prefs&gt;&lt;/data&gt;</vt:lpwstr>
  </property>
</Properties>
</file>