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2356A75" w14:textId="28F84F97" w:rsidR="00431340" w:rsidRDefault="00D753D4" w:rsidP="00BF77A7">
      <w:pPr>
        <w:pStyle w:val="DocHead"/>
        <w:spacing w:before="0" w:after="0"/>
        <w:ind w:left="-119" w:right="-136" w:firstLine="119"/>
      </w:pPr>
      <w:r>
        <w:t>SIFF</w:t>
      </w:r>
      <w:r w:rsidR="00BF77A7">
        <w:t xml:space="preserve"> 2026</w:t>
      </w:r>
    </w:p>
    <w:p w14:paraId="2641CBEB" w14:textId="0714D6BB" w:rsidR="00431340" w:rsidRDefault="004D1125" w:rsidP="00BF77A7">
      <w:pPr>
        <w:pStyle w:val="DocHead"/>
        <w:spacing w:before="0" w:after="0"/>
        <w:ind w:left="-119" w:right="-136" w:firstLine="119"/>
      </w:pPr>
      <w:r>
        <w:t>Singapore International Food Forum 2026</w:t>
      </w:r>
      <w:r w:rsidR="00C17F75">
        <w:br/>
      </w:r>
    </w:p>
    <w:p w14:paraId="4538BFCD" w14:textId="3FB552BF" w:rsidR="00431340" w:rsidRPr="00C67487" w:rsidRDefault="00690E8D" w:rsidP="00C67487">
      <w:pPr>
        <w:pStyle w:val="Els-Title"/>
      </w:pPr>
      <w:r w:rsidRPr="00690E8D">
        <w:t>Identification of Physicochemical Composition of Natural, Honey, and Full</w:t>
      </w:r>
      <w:r w:rsidR="00270F2B">
        <w:t>-</w:t>
      </w:r>
      <w:r w:rsidRPr="00690E8D">
        <w:t xml:space="preserve">wash Kintamani Arabica </w:t>
      </w:r>
      <w:r w:rsidR="00270F2B">
        <w:t>C</w:t>
      </w:r>
      <w:r w:rsidRPr="00690E8D">
        <w:t xml:space="preserve">offee </w:t>
      </w:r>
    </w:p>
    <w:p w14:paraId="5E774EED" w14:textId="437BA2F3" w:rsidR="00673656" w:rsidRPr="009C71BA" w:rsidRDefault="00270F2B" w:rsidP="00673656">
      <w:pPr>
        <w:pStyle w:val="Els-Author"/>
        <w:ind w:right="2"/>
        <w:rPr>
          <w:sz w:val="24"/>
          <w:szCs w:val="24"/>
        </w:rPr>
      </w:pPr>
      <w:r w:rsidRPr="00270F2B">
        <w:rPr>
          <w:sz w:val="24"/>
          <w:szCs w:val="24"/>
          <w:lang w:val="nb-NO"/>
        </w:rPr>
        <w:t>L</w:t>
      </w:r>
      <w:r w:rsidR="00BD071B">
        <w:rPr>
          <w:sz w:val="24"/>
          <w:szCs w:val="24"/>
          <w:lang w:val="nb-NO"/>
        </w:rPr>
        <w:t>.</w:t>
      </w:r>
      <w:r w:rsidRPr="00270F2B">
        <w:rPr>
          <w:sz w:val="24"/>
          <w:szCs w:val="24"/>
          <w:lang w:val="nb-NO"/>
        </w:rPr>
        <w:t xml:space="preserve"> Suriati</w:t>
      </w:r>
      <w:r w:rsidR="00BD071B" w:rsidRPr="00BD071B">
        <w:rPr>
          <w:sz w:val="24"/>
          <w:szCs w:val="24"/>
          <w:vertAlign w:val="superscript"/>
          <w:lang w:val="nb-NO"/>
        </w:rPr>
        <w:t>a</w:t>
      </w:r>
      <w:r w:rsidRPr="00270F2B">
        <w:rPr>
          <w:sz w:val="24"/>
          <w:szCs w:val="24"/>
          <w:lang w:val="nb-NO"/>
        </w:rPr>
        <w:t>*, I</w:t>
      </w:r>
      <w:r w:rsidR="00BD071B">
        <w:rPr>
          <w:sz w:val="24"/>
          <w:szCs w:val="24"/>
          <w:lang w:val="nb-NO"/>
        </w:rPr>
        <w:t>.</w:t>
      </w:r>
      <w:r w:rsidRPr="00270F2B">
        <w:rPr>
          <w:sz w:val="24"/>
          <w:szCs w:val="24"/>
          <w:lang w:val="nb-NO"/>
        </w:rPr>
        <w:t>N</w:t>
      </w:r>
      <w:r w:rsidR="00BD071B">
        <w:rPr>
          <w:sz w:val="24"/>
          <w:szCs w:val="24"/>
          <w:lang w:val="nb-NO"/>
        </w:rPr>
        <w:t>.</w:t>
      </w:r>
      <w:r w:rsidRPr="00270F2B">
        <w:rPr>
          <w:sz w:val="24"/>
          <w:szCs w:val="24"/>
          <w:lang w:val="nb-NO"/>
        </w:rPr>
        <w:t xml:space="preserve"> Kaca</w:t>
      </w:r>
      <w:r w:rsidR="00BD071B" w:rsidRPr="00BD071B">
        <w:rPr>
          <w:sz w:val="24"/>
          <w:szCs w:val="24"/>
          <w:vertAlign w:val="superscript"/>
          <w:lang w:val="nb-NO"/>
        </w:rPr>
        <w:t>b</w:t>
      </w:r>
      <w:r w:rsidRPr="00270F2B">
        <w:rPr>
          <w:sz w:val="24"/>
          <w:szCs w:val="24"/>
          <w:lang w:val="nb-NO"/>
        </w:rPr>
        <w:t>, I</w:t>
      </w:r>
      <w:r w:rsidR="00AC51BF">
        <w:rPr>
          <w:sz w:val="24"/>
          <w:szCs w:val="24"/>
          <w:lang w:val="nb-NO"/>
        </w:rPr>
        <w:t>.G.A.Y.</w:t>
      </w:r>
      <w:r w:rsidRPr="00270F2B">
        <w:rPr>
          <w:sz w:val="24"/>
          <w:szCs w:val="24"/>
          <w:lang w:val="nb-NO"/>
        </w:rPr>
        <w:t xml:space="preserve"> Rabani</w:t>
      </w:r>
      <w:r w:rsidR="00AC51BF" w:rsidRPr="00AC51BF">
        <w:rPr>
          <w:sz w:val="24"/>
          <w:szCs w:val="24"/>
          <w:vertAlign w:val="superscript"/>
          <w:lang w:val="nb-NO"/>
        </w:rPr>
        <w:t>c</w:t>
      </w:r>
      <w:r w:rsidRPr="00270F2B">
        <w:rPr>
          <w:sz w:val="24"/>
          <w:szCs w:val="24"/>
          <w:lang w:val="nb-NO"/>
        </w:rPr>
        <w:t>, I</w:t>
      </w:r>
      <w:r w:rsidR="00AC51BF">
        <w:rPr>
          <w:sz w:val="24"/>
          <w:szCs w:val="24"/>
          <w:lang w:val="nb-NO"/>
        </w:rPr>
        <w:t xml:space="preserve">.K. </w:t>
      </w:r>
      <w:r w:rsidRPr="00270F2B">
        <w:rPr>
          <w:sz w:val="24"/>
          <w:szCs w:val="24"/>
          <w:lang w:val="nb-NO"/>
        </w:rPr>
        <w:t>Selamet</w:t>
      </w:r>
      <w:r w:rsidR="00D363A9">
        <w:rPr>
          <w:sz w:val="24"/>
          <w:szCs w:val="24"/>
          <w:vertAlign w:val="superscript"/>
          <w:lang w:val="nb-NO"/>
        </w:rPr>
        <w:t>d</w:t>
      </w:r>
      <w:r>
        <w:rPr>
          <w:sz w:val="24"/>
          <w:szCs w:val="24"/>
          <w:lang w:val="nb-NO"/>
        </w:rPr>
        <w:t xml:space="preserve"> </w:t>
      </w:r>
    </w:p>
    <w:p w14:paraId="5342D5C1" w14:textId="221BB0DE" w:rsidR="00673656" w:rsidRPr="00673656" w:rsidRDefault="00673656" w:rsidP="00431340">
      <w:pPr>
        <w:pStyle w:val="Els-Author"/>
        <w:ind w:right="2"/>
        <w:rPr>
          <w:sz w:val="28"/>
          <w:szCs w:val="28"/>
        </w:rPr>
        <w:sectPr w:rsidR="00673656" w:rsidRPr="00673656" w:rsidSect="00431340">
          <w:headerReference w:type="even" r:id="rId11"/>
          <w:headerReference w:type="default" r:id="rId12"/>
          <w:footerReference w:type="even" r:id="rId13"/>
          <w:footerReference w:type="default" r:id="rId14"/>
          <w:headerReference w:type="first" r:id="rId15"/>
          <w:footerReference w:type="first" r:id="rId16"/>
          <w:footnotePr>
            <w:numFmt w:val="chicago"/>
          </w:footnotePr>
          <w:type w:val="continuous"/>
          <w:pgSz w:w="11906" w:h="16838"/>
          <w:pgMar w:top="1440" w:right="1440" w:bottom="1440" w:left="1440" w:header="708" w:footer="708" w:gutter="0"/>
          <w:cols w:space="708"/>
          <w:docGrid w:linePitch="360"/>
        </w:sectPr>
      </w:pPr>
    </w:p>
    <w:p w14:paraId="72C77494" w14:textId="720E9309" w:rsidR="00C730DF" w:rsidRPr="00C730DF" w:rsidRDefault="004C7508" w:rsidP="00C730DF">
      <w:pPr>
        <w:pStyle w:val="Els-Affiliation"/>
        <w:rPr>
          <w:lang w:val="nb-NO"/>
        </w:rPr>
      </w:pPr>
      <w:r>
        <w:rPr>
          <w:vertAlign w:val="superscript"/>
          <w:lang w:val="nb-NO"/>
        </w:rPr>
        <w:t>a</w:t>
      </w:r>
      <w:r w:rsidR="00C730DF" w:rsidRPr="00C730DF">
        <w:rPr>
          <w:lang w:val="nb-NO"/>
        </w:rPr>
        <w:t>Food Technology and Agricultural Product Study Program, Faculty of Agriculture, Warmadewa</w:t>
      </w:r>
      <w:r w:rsidR="00446E33">
        <w:rPr>
          <w:lang w:val="nb-NO"/>
        </w:rPr>
        <w:t xml:space="preserve"> </w:t>
      </w:r>
      <w:r w:rsidR="00C730DF" w:rsidRPr="00C730DF">
        <w:rPr>
          <w:lang w:val="nb-NO"/>
        </w:rPr>
        <w:t>University, Denpasar, Indonesia.</w:t>
      </w:r>
    </w:p>
    <w:p w14:paraId="21A38AE2" w14:textId="0E66C991" w:rsidR="00C730DF" w:rsidRPr="00C730DF" w:rsidRDefault="00B60D78" w:rsidP="00B60D78">
      <w:pPr>
        <w:pStyle w:val="Els-Affiliation"/>
        <w:rPr>
          <w:lang w:val="nb-NO"/>
        </w:rPr>
      </w:pPr>
      <w:r>
        <w:rPr>
          <w:szCs w:val="16"/>
          <w:vertAlign w:val="superscript"/>
          <w:lang w:val="nb-NO"/>
        </w:rPr>
        <w:t>b</w:t>
      </w:r>
      <w:r w:rsidR="00C730DF" w:rsidRPr="00C730DF">
        <w:rPr>
          <w:lang w:val="nb-NO"/>
        </w:rPr>
        <w:t>Animal Husbandry Study Program, Faculty of Agriculture, Warmadewa University, Denpasar,</w:t>
      </w:r>
      <w:r w:rsidR="00446E33">
        <w:rPr>
          <w:lang w:val="nb-NO"/>
        </w:rPr>
        <w:t xml:space="preserve"> </w:t>
      </w:r>
      <w:r w:rsidR="00C730DF" w:rsidRPr="00C730DF">
        <w:rPr>
          <w:lang w:val="nb-NO"/>
        </w:rPr>
        <w:t>Indonesia.</w:t>
      </w:r>
    </w:p>
    <w:p w14:paraId="1A13CCE8" w14:textId="76932DF6" w:rsidR="00C730DF" w:rsidRPr="00C730DF" w:rsidRDefault="00B60D78" w:rsidP="00C730DF">
      <w:pPr>
        <w:pStyle w:val="Els-Affiliation"/>
        <w:rPr>
          <w:lang w:val="nb-NO"/>
        </w:rPr>
      </w:pPr>
      <w:r w:rsidRPr="00B60D78">
        <w:rPr>
          <w:szCs w:val="16"/>
          <w:vertAlign w:val="superscript"/>
          <w:lang w:val="nb-NO"/>
        </w:rPr>
        <w:t>c</w:t>
      </w:r>
      <w:r w:rsidR="00C730DF" w:rsidRPr="00C730DF">
        <w:rPr>
          <w:lang w:val="nb-NO"/>
        </w:rPr>
        <w:t>Bachelor of Food Technology Study Program, Bali Institute of Technology and Health, Indonesia.</w:t>
      </w:r>
    </w:p>
    <w:p w14:paraId="652CE03F" w14:textId="4B51A191" w:rsidR="00431340" w:rsidRPr="00234209" w:rsidRDefault="00446E33" w:rsidP="00C730DF">
      <w:pPr>
        <w:pStyle w:val="Els-Affiliation"/>
        <w:rPr>
          <w:iCs/>
        </w:rPr>
      </w:pPr>
      <w:r w:rsidRPr="00446E33">
        <w:rPr>
          <w:szCs w:val="16"/>
          <w:vertAlign w:val="superscript"/>
          <w:lang w:val="nb-NO"/>
        </w:rPr>
        <w:t>d</w:t>
      </w:r>
      <w:r w:rsidR="00C730DF" w:rsidRPr="00C730DF">
        <w:rPr>
          <w:lang w:val="nb-NO"/>
        </w:rPr>
        <w:t>Management Program Study, Economic Faculty, Warmadewa University, Denpasar, Indonesia</w:t>
      </w:r>
      <w:r w:rsidR="004C7508" w:rsidRPr="00234209">
        <w:rPr>
          <w:lang w:val="nb-NO"/>
        </w:rPr>
        <w:t xml:space="preserve"> </w:t>
      </w:r>
    </w:p>
    <w:p w14:paraId="05A3C6FA" w14:textId="7E5C6114" w:rsidR="00431340" w:rsidRDefault="00431340" w:rsidP="00C730DF">
      <w:pPr>
        <w:pStyle w:val="Els-Affiliation"/>
        <w:spacing w:after="400"/>
        <w:jc w:val="left"/>
        <w:rPr>
          <w:lang w:eastAsia="zh-CN"/>
        </w:rPr>
      </w:pPr>
    </w:p>
    <w:p w14:paraId="7715227C" w14:textId="77777777" w:rsidR="00431340" w:rsidRPr="00BF77A7" w:rsidRDefault="00431340" w:rsidP="00665C88">
      <w:pPr>
        <w:pStyle w:val="Els-Abstract-head"/>
        <w:spacing w:before="120" w:after="0" w:line="240" w:lineRule="auto"/>
        <w:rPr>
          <w:sz w:val="20"/>
        </w:rPr>
      </w:pPr>
      <w:r w:rsidRPr="00BF77A7">
        <w:rPr>
          <w:sz w:val="20"/>
        </w:rPr>
        <w:t>Abstract</w:t>
      </w:r>
    </w:p>
    <w:p w14:paraId="56CCE916" w14:textId="5E0380D8" w:rsidR="004C7508" w:rsidRDefault="001F5333" w:rsidP="00665C88">
      <w:pPr>
        <w:pStyle w:val="Els-Abstract-head"/>
        <w:spacing w:before="120" w:after="0" w:line="240" w:lineRule="auto"/>
        <w:jc w:val="both"/>
        <w:rPr>
          <w:b w:val="0"/>
          <w:sz w:val="20"/>
        </w:rPr>
      </w:pPr>
      <w:r>
        <w:rPr>
          <w:b w:val="0"/>
          <w:sz w:val="20"/>
        </w:rPr>
        <w:t xml:space="preserve">Kintamani </w:t>
      </w:r>
      <w:r w:rsidR="00554697" w:rsidRPr="00554697">
        <w:rPr>
          <w:b w:val="0"/>
          <w:sz w:val="20"/>
        </w:rPr>
        <w:t>Arabica coffee (</w:t>
      </w:r>
      <w:r w:rsidR="00554697" w:rsidRPr="001F5333">
        <w:rPr>
          <w:b w:val="0"/>
          <w:i/>
          <w:iCs/>
          <w:sz w:val="20"/>
        </w:rPr>
        <w:t>Coffea arabica</w:t>
      </w:r>
      <w:r w:rsidR="00554697" w:rsidRPr="00554697">
        <w:rPr>
          <w:b w:val="0"/>
          <w:sz w:val="20"/>
        </w:rPr>
        <w:t>), characterized by a delicate and complex taste, is significantly influenced by the processing methods. Each of these methods can show the quality of coffee beans and establish coffee as the center of attention in the global coffee industry. Therefore, this study aimed to identify differences in the chemical composition of Kintamani Arabica coffee processed by natural, honey, and full-wash methods. The experiment was carried out through the collection of green Arabica coffee from various locations in Kintamani District, where each processing method was applied consistently to reduce variability and ensure accurate results. A complete random design of one factor, namely type of coffee based on processing method, with six replications, was used to identify the chemical composition. The results showed that the processing method significantly affected the chemical composition of coffee. Specifically, samples treated with full-wash was the best, showing a very strong antioxidant activity, flavonoid content (2.89 ± 0.43) %, phenol (3.37 ± 0.29) %, tannins (5.19 ± 0.68) %, fats (0.57 ±0.28) %, carbohydrates (71.78 ± 2.62) %, caffeine (1.17 ± 0.04) %, water (11.66 ± 1.89) %, ash (5.62 ± 0.89) %, and proteins (10.36 ± 1.52) %. These results provided in-depth insights into how processing methods could affect the quality and flavor characteristics, offering a practical foundation for farmers and producers to improve the selling value as well as the quality of Kintamani Arabica coffee products in the global market</w:t>
      </w:r>
      <w:r w:rsidR="004C7508" w:rsidRPr="004C7508">
        <w:rPr>
          <w:b w:val="0"/>
          <w:sz w:val="20"/>
        </w:rPr>
        <w:t>.</w:t>
      </w:r>
    </w:p>
    <w:p w14:paraId="7767BDEC" w14:textId="77777777" w:rsidR="00554697" w:rsidRDefault="00554697" w:rsidP="00665C88">
      <w:pPr>
        <w:pStyle w:val="Els-keywords"/>
        <w:spacing w:after="120" w:line="240" w:lineRule="auto"/>
        <w:rPr>
          <w:b/>
          <w:sz w:val="20"/>
        </w:rPr>
      </w:pPr>
    </w:p>
    <w:p w14:paraId="0AE07FD0" w14:textId="1F1157F3" w:rsidR="002A0A1C" w:rsidRPr="00C67487" w:rsidRDefault="002A0A1C" w:rsidP="00665C88">
      <w:pPr>
        <w:pStyle w:val="Els-keywords"/>
        <w:spacing w:after="120" w:line="240" w:lineRule="auto"/>
        <w:rPr>
          <w:b/>
          <w:sz w:val="20"/>
        </w:rPr>
      </w:pPr>
      <w:r w:rsidRPr="00C67487">
        <w:rPr>
          <w:b/>
          <w:sz w:val="20"/>
        </w:rPr>
        <w:t>References</w:t>
      </w:r>
    </w:p>
    <w:p w14:paraId="25B50AD4" w14:textId="77777777" w:rsidR="00725CDF" w:rsidRPr="00725CDF" w:rsidRDefault="00725CDF" w:rsidP="00C00DEF">
      <w:pPr>
        <w:pStyle w:val="Els-keywords"/>
        <w:spacing w:after="120" w:line="240" w:lineRule="auto"/>
        <w:ind w:left="426" w:hanging="426"/>
        <w:rPr>
          <w:sz w:val="20"/>
        </w:rPr>
      </w:pPr>
      <w:r w:rsidRPr="00725CDF">
        <w:rPr>
          <w:sz w:val="20"/>
        </w:rPr>
        <w:t>[1]</w:t>
      </w:r>
      <w:r w:rsidRPr="00725CDF">
        <w:rPr>
          <w:sz w:val="20"/>
        </w:rPr>
        <w:tab/>
        <w:t>L. Suriati, I. G. P. Mangku, I. D. G. Yudi Ardana, and I. W. W. Putra, “The effect of coffee skin type and cornstarch concentration on characteristics of jam,” Food Res., vol. 7, no. 3, pp. 71–76, 2023, doi: 10.26656/fr.2017.7(3).979.</w:t>
      </w:r>
    </w:p>
    <w:p w14:paraId="2D6D408E" w14:textId="77777777" w:rsidR="00725CDF" w:rsidRPr="00725CDF" w:rsidRDefault="00725CDF" w:rsidP="00C00DEF">
      <w:pPr>
        <w:pStyle w:val="Els-keywords"/>
        <w:spacing w:after="120" w:line="240" w:lineRule="auto"/>
        <w:ind w:left="426" w:hanging="426"/>
        <w:rPr>
          <w:sz w:val="20"/>
        </w:rPr>
      </w:pPr>
      <w:r w:rsidRPr="00725CDF">
        <w:rPr>
          <w:sz w:val="20"/>
        </w:rPr>
        <w:t>[2]</w:t>
      </w:r>
      <w:r w:rsidRPr="00725CDF">
        <w:rPr>
          <w:sz w:val="20"/>
        </w:rPr>
        <w:tab/>
        <w:t>I. G. P. Mangku, L. Suriati, D. G. Y. Ardana, and W. W. Putra, “The Effects of Processing Methods on the Quality of Arabica Kintamani Green Beans,” Int. J. Food Stud., vol. 11, no. 2, pp. 374–385, 2022, doi: 10.7455/ijfs/11.2.2022.a9.</w:t>
      </w:r>
    </w:p>
    <w:p w14:paraId="535263BF" w14:textId="77777777" w:rsidR="00725CDF" w:rsidRPr="00725CDF" w:rsidRDefault="00725CDF" w:rsidP="00C00DEF">
      <w:pPr>
        <w:pStyle w:val="Els-keywords"/>
        <w:spacing w:after="120" w:line="240" w:lineRule="auto"/>
        <w:ind w:left="426" w:hanging="426"/>
        <w:rPr>
          <w:sz w:val="20"/>
        </w:rPr>
      </w:pPr>
      <w:r w:rsidRPr="00725CDF">
        <w:rPr>
          <w:sz w:val="20"/>
        </w:rPr>
        <w:t>[3]</w:t>
      </w:r>
      <w:r w:rsidRPr="00725CDF">
        <w:rPr>
          <w:sz w:val="20"/>
        </w:rPr>
        <w:tab/>
        <w:t>R. K. Dewi, I. A. L. Dewi, M. Antara, N. G. Ustriyana, and K. Suamba, “The Performance of the Supply Chain of Arabica Coffee Processing Business (Case Study: Kintamani Arabica Coffee Processing Business, Bangli Regency, Bali Province),” Int. J. Environ. Sci., vol. 11, no. 1S, pp. 60–72, 2025, doi: 10.64252/c0dp8s54.</w:t>
      </w:r>
    </w:p>
    <w:p w14:paraId="1AC98043" w14:textId="77777777" w:rsidR="00725CDF" w:rsidRPr="00725CDF" w:rsidRDefault="00725CDF" w:rsidP="00C00DEF">
      <w:pPr>
        <w:pStyle w:val="Els-keywords"/>
        <w:spacing w:after="120" w:line="240" w:lineRule="auto"/>
        <w:ind w:left="426" w:hanging="426"/>
        <w:rPr>
          <w:sz w:val="20"/>
        </w:rPr>
      </w:pPr>
      <w:r w:rsidRPr="00725CDF">
        <w:rPr>
          <w:sz w:val="20"/>
        </w:rPr>
        <w:t>[4]</w:t>
      </w:r>
      <w:r w:rsidRPr="00725CDF">
        <w:rPr>
          <w:sz w:val="20"/>
        </w:rPr>
        <w:tab/>
        <w:t>A. P. Riandani, E. Prangdimurti, and D. Herawati, “Profiling the chemical and sensory properties of cascara beverages from different locations in Indonesia,” Food Res., vol. 6, no. 4, pp. 388–398, 2022, doi: 10.26656/fr.2017.6(4).520.</w:t>
      </w:r>
    </w:p>
    <w:p w14:paraId="3F4A5711" w14:textId="77777777" w:rsidR="00725CDF" w:rsidRPr="00725CDF" w:rsidRDefault="00725CDF" w:rsidP="00C00DEF">
      <w:pPr>
        <w:pStyle w:val="Els-keywords"/>
        <w:spacing w:after="120" w:line="240" w:lineRule="auto"/>
        <w:ind w:left="426" w:hanging="426"/>
        <w:rPr>
          <w:sz w:val="20"/>
        </w:rPr>
      </w:pPr>
      <w:r w:rsidRPr="00725CDF">
        <w:rPr>
          <w:sz w:val="20"/>
        </w:rPr>
        <w:t>[5]</w:t>
      </w:r>
      <w:r w:rsidRPr="00725CDF">
        <w:rPr>
          <w:sz w:val="20"/>
        </w:rPr>
        <w:tab/>
        <w:t>E. Jan-Smith et al., “Metabolomic insights into the Arabica-like flavour of stenophylla coffee and the chemistry of quality coffee,” npj Sci. Food, vol. 9, no. 1, 2025, doi: 10.1038/s41538-025-00398-8.</w:t>
      </w:r>
    </w:p>
    <w:p w14:paraId="21FB0104" w14:textId="77777777" w:rsidR="00725CDF" w:rsidRPr="00725CDF" w:rsidRDefault="00725CDF" w:rsidP="00C00DEF">
      <w:pPr>
        <w:pStyle w:val="Els-keywords"/>
        <w:spacing w:after="120" w:line="240" w:lineRule="auto"/>
        <w:ind w:left="426" w:hanging="426"/>
        <w:rPr>
          <w:sz w:val="20"/>
        </w:rPr>
      </w:pPr>
      <w:r w:rsidRPr="00725CDF">
        <w:rPr>
          <w:sz w:val="20"/>
        </w:rPr>
        <w:t>[6]</w:t>
      </w:r>
      <w:r w:rsidRPr="00725CDF">
        <w:rPr>
          <w:sz w:val="20"/>
        </w:rPr>
        <w:tab/>
        <w:t>C. Taiti, G. Vivaldo, S. Mancuso, D. Comparini, and C. Pandolfi, “Volatile organic compounds (VOCs) fingerprinting combined with complex network analysis as a forecasting tool for tracing the origin and genetic lineage of Arabica specialty coffees,” Sci. Rep., vol. 15, no. 1, pp. 1–20, 2025, doi: 10.1038/s41598-025-97162-5.</w:t>
      </w:r>
    </w:p>
    <w:p w14:paraId="3562C820" w14:textId="77777777" w:rsidR="00725CDF" w:rsidRPr="00725CDF" w:rsidRDefault="00725CDF" w:rsidP="00C00DEF">
      <w:pPr>
        <w:pStyle w:val="Els-keywords"/>
        <w:spacing w:after="120" w:line="240" w:lineRule="auto"/>
        <w:ind w:left="426" w:hanging="426"/>
        <w:rPr>
          <w:sz w:val="20"/>
        </w:rPr>
      </w:pPr>
      <w:r w:rsidRPr="00725CDF">
        <w:rPr>
          <w:sz w:val="20"/>
        </w:rPr>
        <w:t>[7]</w:t>
      </w:r>
      <w:r w:rsidRPr="00725CDF">
        <w:rPr>
          <w:sz w:val="20"/>
        </w:rPr>
        <w:tab/>
        <w:t>S. Nora, “Research Trends on Arabica Coffee : A Bibliometric Analysis,” 2025.</w:t>
      </w:r>
    </w:p>
    <w:p w14:paraId="29A44D04" w14:textId="77777777" w:rsidR="00725CDF" w:rsidRPr="00725CDF" w:rsidRDefault="00725CDF" w:rsidP="00C00DEF">
      <w:pPr>
        <w:pStyle w:val="Els-keywords"/>
        <w:spacing w:after="120" w:line="240" w:lineRule="auto"/>
        <w:ind w:left="426" w:hanging="426"/>
        <w:rPr>
          <w:sz w:val="20"/>
        </w:rPr>
      </w:pPr>
      <w:r w:rsidRPr="00725CDF">
        <w:rPr>
          <w:sz w:val="20"/>
        </w:rPr>
        <w:lastRenderedPageBreak/>
        <w:t>[8]</w:t>
      </w:r>
      <w:r w:rsidRPr="00725CDF">
        <w:rPr>
          <w:sz w:val="20"/>
        </w:rPr>
        <w:tab/>
        <w:t>M. A. E. D. Mohamed, M. M. M. Elbakry, S. Rihan, and S. S. Moselhy, “Phytochemical Identification Components of Coffee Arabica Extracts and Its Role in Alleviation Alterations of Tetracycline Induced Non-alcoholic Steatohepatitis (NASH) in rats.,” Egypt. J. Chem., vol. 68, no. 8, pp. 485–494, 2025, doi: 10.21608/EJCHEM.2024.328894.10641.</w:t>
      </w:r>
    </w:p>
    <w:p w14:paraId="1F2B60AE" w14:textId="77777777" w:rsidR="00725CDF" w:rsidRPr="00725CDF" w:rsidRDefault="00725CDF" w:rsidP="00C00DEF">
      <w:pPr>
        <w:pStyle w:val="Els-keywords"/>
        <w:spacing w:after="120" w:line="240" w:lineRule="auto"/>
        <w:ind w:left="426" w:hanging="426"/>
        <w:rPr>
          <w:sz w:val="20"/>
        </w:rPr>
      </w:pPr>
      <w:r w:rsidRPr="00725CDF">
        <w:rPr>
          <w:sz w:val="20"/>
        </w:rPr>
        <w:t>[9]</w:t>
      </w:r>
      <w:r w:rsidRPr="00725CDF">
        <w:rPr>
          <w:sz w:val="20"/>
        </w:rPr>
        <w:tab/>
        <w:t>K. D. Massrie, “Why is the price of coffee rising globally? Future prospects for Ethiopian coffee,” Front. Sustain. Food Syst., vol. 9, no. April, 2025, doi: 10.3389/fsufs.2025.1545168.</w:t>
      </w:r>
    </w:p>
    <w:p w14:paraId="5E28BEF6" w14:textId="77777777" w:rsidR="00725CDF" w:rsidRPr="00725CDF" w:rsidRDefault="00725CDF" w:rsidP="00C00DEF">
      <w:pPr>
        <w:pStyle w:val="Els-keywords"/>
        <w:spacing w:after="120" w:line="240" w:lineRule="auto"/>
        <w:ind w:left="426" w:hanging="426"/>
        <w:rPr>
          <w:sz w:val="20"/>
        </w:rPr>
      </w:pPr>
      <w:r w:rsidRPr="00725CDF">
        <w:rPr>
          <w:sz w:val="20"/>
        </w:rPr>
        <w:t>[10]</w:t>
      </w:r>
      <w:r w:rsidRPr="00725CDF">
        <w:rPr>
          <w:sz w:val="20"/>
        </w:rPr>
        <w:tab/>
        <w:t>J. D. Hernández-Varela and D. I. Medina, “Revalorization of Coffee Residues: Advances in the Development of Eco-Friendly Biobased Potential Food Packaging,” Polymers (Basel)., vol. 15, no. 13, 2023, doi: 10.3390/polym15132823.</w:t>
      </w:r>
    </w:p>
    <w:p w14:paraId="5C32D5B5" w14:textId="77777777" w:rsidR="00725CDF" w:rsidRPr="00725CDF" w:rsidRDefault="00725CDF" w:rsidP="00C00DEF">
      <w:pPr>
        <w:pStyle w:val="Els-keywords"/>
        <w:spacing w:after="120" w:line="240" w:lineRule="auto"/>
        <w:ind w:left="426" w:hanging="426"/>
        <w:rPr>
          <w:sz w:val="20"/>
        </w:rPr>
      </w:pPr>
      <w:r w:rsidRPr="00725CDF">
        <w:rPr>
          <w:sz w:val="20"/>
        </w:rPr>
        <w:t>[11]</w:t>
      </w:r>
      <w:r w:rsidRPr="00725CDF">
        <w:rPr>
          <w:sz w:val="20"/>
        </w:rPr>
        <w:tab/>
        <w:t>S. Aung, S. Wongsakul, and H. Kitazawa, “Comparative analysis of post-harvest processing and drying techniques on the cupping quality of Thai Arabica coffee,” vol. 21, no. February, 2025.</w:t>
      </w:r>
    </w:p>
    <w:p w14:paraId="253D61A3" w14:textId="77777777" w:rsidR="00725CDF" w:rsidRPr="00725CDF" w:rsidRDefault="00725CDF" w:rsidP="00C00DEF">
      <w:pPr>
        <w:pStyle w:val="Els-keywords"/>
        <w:spacing w:after="120" w:line="240" w:lineRule="auto"/>
        <w:ind w:left="426" w:hanging="426"/>
        <w:rPr>
          <w:sz w:val="20"/>
        </w:rPr>
      </w:pPr>
      <w:r w:rsidRPr="00725CDF">
        <w:rPr>
          <w:sz w:val="20"/>
        </w:rPr>
        <w:t>[12]</w:t>
      </w:r>
      <w:r w:rsidRPr="00725CDF">
        <w:rPr>
          <w:sz w:val="20"/>
        </w:rPr>
        <w:tab/>
        <w:t>A. E. Peñuela-martínez, C. V. Osorio-giraldo, and C. Buitrago-zuluaga, “Development of Fermentation Strategies for Quality Mild Coffee Production ( Coffea arabica L .) Based on Oxygen Availability and Processing Time,” 2025.</w:t>
      </w:r>
    </w:p>
    <w:p w14:paraId="3ED77EBC" w14:textId="77777777" w:rsidR="00725CDF" w:rsidRPr="00725CDF" w:rsidRDefault="00725CDF" w:rsidP="00C00DEF">
      <w:pPr>
        <w:pStyle w:val="Els-keywords"/>
        <w:spacing w:after="120" w:line="240" w:lineRule="auto"/>
        <w:ind w:left="426" w:hanging="426"/>
        <w:rPr>
          <w:sz w:val="20"/>
        </w:rPr>
      </w:pPr>
      <w:r w:rsidRPr="00725CDF">
        <w:rPr>
          <w:sz w:val="20"/>
        </w:rPr>
        <w:t>[13]</w:t>
      </w:r>
      <w:r w:rsidRPr="00725CDF">
        <w:rPr>
          <w:sz w:val="20"/>
        </w:rPr>
        <w:tab/>
        <w:t>D. Urroh, B. D. A. I. Rianto, and H. R. Iptanti, “SUSTAINABLE DEVELOPMENT STRATEGY FOR THE AGROINDUSTRY OF THE JAVA IJEN RAUNG SPECIALTY ARABICA COFFEE ( COFFEA ARABICA L .),” vol. 23, no. 2020, pp. 9213–9234, 2025.</w:t>
      </w:r>
    </w:p>
    <w:p w14:paraId="6C25C7F0" w14:textId="77777777" w:rsidR="00725CDF" w:rsidRPr="00725CDF" w:rsidRDefault="00725CDF" w:rsidP="00C00DEF">
      <w:pPr>
        <w:pStyle w:val="Els-keywords"/>
        <w:spacing w:after="120" w:line="240" w:lineRule="auto"/>
        <w:ind w:left="426" w:hanging="426"/>
        <w:rPr>
          <w:sz w:val="20"/>
        </w:rPr>
      </w:pPr>
      <w:r w:rsidRPr="00725CDF">
        <w:rPr>
          <w:sz w:val="20"/>
        </w:rPr>
        <w:t>[14]</w:t>
      </w:r>
      <w:r w:rsidRPr="00725CDF">
        <w:rPr>
          <w:sz w:val="20"/>
        </w:rPr>
        <w:tab/>
        <w:t>K. Alemu, “Coffee berry disease: a threat to Arabica coffee production in Ethiopia,” Discov. Life, vol. 55, no. 1, 2025, doi: 10.1007/s11084-025-09690-9.</w:t>
      </w:r>
    </w:p>
    <w:p w14:paraId="007433A2" w14:textId="77777777" w:rsidR="00725CDF" w:rsidRPr="00725CDF" w:rsidRDefault="00725CDF" w:rsidP="00C00DEF">
      <w:pPr>
        <w:pStyle w:val="Els-keywords"/>
        <w:spacing w:after="120" w:line="240" w:lineRule="auto"/>
        <w:ind w:left="426" w:hanging="426"/>
        <w:rPr>
          <w:sz w:val="20"/>
        </w:rPr>
      </w:pPr>
      <w:r w:rsidRPr="00725CDF">
        <w:rPr>
          <w:sz w:val="20"/>
        </w:rPr>
        <w:t>[15]</w:t>
      </w:r>
      <w:r w:rsidRPr="00725CDF">
        <w:rPr>
          <w:sz w:val="20"/>
        </w:rPr>
        <w:tab/>
        <w:t>B. Navajas-Porras et al., “The Valorization of Coffee By-Products and Waste Through the Use of Green Extraction Techniques: A Bibliometric Analysis,” Appl. Sci., vol. 15, no. 3, 2025, doi: 10.3390/app15031505.</w:t>
      </w:r>
    </w:p>
    <w:p w14:paraId="04ED81A2" w14:textId="77777777" w:rsidR="00725CDF" w:rsidRPr="00725CDF" w:rsidRDefault="00725CDF" w:rsidP="00C00DEF">
      <w:pPr>
        <w:pStyle w:val="Els-keywords"/>
        <w:spacing w:after="120" w:line="240" w:lineRule="auto"/>
        <w:ind w:left="426" w:hanging="426"/>
        <w:rPr>
          <w:sz w:val="20"/>
        </w:rPr>
      </w:pPr>
      <w:r w:rsidRPr="00725CDF">
        <w:rPr>
          <w:sz w:val="20"/>
        </w:rPr>
        <w:t>[16]</w:t>
      </w:r>
      <w:r w:rsidRPr="00725CDF">
        <w:rPr>
          <w:sz w:val="20"/>
        </w:rPr>
        <w:tab/>
        <w:t>L. Suriati et al., “Accelerating the Development of Arabica Coffee Production and Processing to Encourage Business and Economic Improvement of the Kintamani Bali Community,” vol. 9, no. 1, 2025.</w:t>
      </w:r>
    </w:p>
    <w:p w14:paraId="2692C4AC" w14:textId="77777777" w:rsidR="00725CDF" w:rsidRPr="00725CDF" w:rsidRDefault="00725CDF" w:rsidP="00C00DEF">
      <w:pPr>
        <w:pStyle w:val="Els-keywords"/>
        <w:spacing w:after="120" w:line="240" w:lineRule="auto"/>
        <w:ind w:left="426" w:hanging="426"/>
        <w:rPr>
          <w:sz w:val="20"/>
        </w:rPr>
      </w:pPr>
      <w:r w:rsidRPr="00725CDF">
        <w:rPr>
          <w:sz w:val="20"/>
        </w:rPr>
        <w:t>[17]</w:t>
      </w:r>
      <w:r w:rsidRPr="00725CDF">
        <w:rPr>
          <w:sz w:val="20"/>
        </w:rPr>
        <w:tab/>
        <w:t>I. G. P. Mangkua, L. Suriatia, D. G. Y. Ardanab, and W. W. Putrab, “The Effects of Processing Methods on the Quality of Arabica Kintamani Green Beans,” Int. J. Food Stud., vol. 11, no. 2, pp. 374–385, 2022, doi: 10.7455/ijfs/11.2.2022.a9.</w:t>
      </w:r>
    </w:p>
    <w:p w14:paraId="678FCEE2" w14:textId="77777777" w:rsidR="00725CDF" w:rsidRPr="00725CDF" w:rsidRDefault="00725CDF" w:rsidP="00C00DEF">
      <w:pPr>
        <w:pStyle w:val="Els-keywords"/>
        <w:spacing w:after="120" w:line="240" w:lineRule="auto"/>
        <w:ind w:left="426" w:hanging="426"/>
        <w:rPr>
          <w:sz w:val="20"/>
        </w:rPr>
      </w:pPr>
      <w:r w:rsidRPr="00725CDF">
        <w:rPr>
          <w:sz w:val="20"/>
        </w:rPr>
        <w:t>[18]</w:t>
      </w:r>
      <w:r w:rsidRPr="00725CDF">
        <w:rPr>
          <w:sz w:val="20"/>
        </w:rPr>
        <w:tab/>
        <w:t>L. Runggeari, Y. Wetipo, and D. Rifanto, “Supply Chain of Arabica Coffee in the Papua Highlands : A Case Study of Highland Roastery and Emas Hijau Cooperative,” no. November, pp. 1544–1555, 2025.</w:t>
      </w:r>
    </w:p>
    <w:p w14:paraId="1300B133" w14:textId="77777777" w:rsidR="00725CDF" w:rsidRPr="00725CDF" w:rsidRDefault="00725CDF" w:rsidP="00C00DEF">
      <w:pPr>
        <w:pStyle w:val="Els-keywords"/>
        <w:spacing w:after="120" w:line="240" w:lineRule="auto"/>
        <w:ind w:left="426" w:hanging="426"/>
        <w:rPr>
          <w:sz w:val="20"/>
        </w:rPr>
      </w:pPr>
      <w:r w:rsidRPr="00725CDF">
        <w:rPr>
          <w:sz w:val="20"/>
        </w:rPr>
        <w:t>[19]</w:t>
      </w:r>
      <w:r w:rsidRPr="00725CDF">
        <w:rPr>
          <w:sz w:val="20"/>
        </w:rPr>
        <w:tab/>
        <w:t>D. B. Machado and R. A. de Oliveira, “FUNCTIONAL AND TECHNOLOGICAL PROPERTIES OF COFFEE MUCILAGE (Coffea arabica) AND ITS APPLICATION IN EDIBLE FILMS,” Quim. Nova, vol. 46, no. 8, pp. 778–784, 2023, doi: 10.21577/0100-4042.20230052.</w:t>
      </w:r>
    </w:p>
    <w:p w14:paraId="1C9A9B57" w14:textId="77777777" w:rsidR="00725CDF" w:rsidRPr="00725CDF" w:rsidRDefault="00725CDF" w:rsidP="00C00DEF">
      <w:pPr>
        <w:pStyle w:val="Els-keywords"/>
        <w:spacing w:after="120" w:line="240" w:lineRule="auto"/>
        <w:ind w:left="426" w:hanging="426"/>
        <w:rPr>
          <w:sz w:val="20"/>
        </w:rPr>
      </w:pPr>
      <w:r w:rsidRPr="00725CDF">
        <w:rPr>
          <w:sz w:val="20"/>
        </w:rPr>
        <w:t>[20]</w:t>
      </w:r>
      <w:r w:rsidRPr="00725CDF">
        <w:rPr>
          <w:sz w:val="20"/>
        </w:rPr>
        <w:tab/>
        <w:t>G. V. de Melo Pereira et al., Chemical composition and health properties of coffee and coffee by-products, 1st ed., vol. 91. Elsevier Inc., 2020. doi: 10.1016/bs.afnr.2019.10.002.</w:t>
      </w:r>
    </w:p>
    <w:p w14:paraId="724619B7" w14:textId="77777777" w:rsidR="00725CDF" w:rsidRPr="00725CDF" w:rsidRDefault="00725CDF" w:rsidP="00C00DEF">
      <w:pPr>
        <w:pStyle w:val="Els-keywords"/>
        <w:spacing w:after="120" w:line="240" w:lineRule="auto"/>
        <w:ind w:left="426" w:hanging="426"/>
        <w:rPr>
          <w:sz w:val="20"/>
        </w:rPr>
      </w:pPr>
      <w:r w:rsidRPr="00725CDF">
        <w:rPr>
          <w:sz w:val="20"/>
        </w:rPr>
        <w:t>[21]</w:t>
      </w:r>
      <w:r w:rsidRPr="00725CDF">
        <w:rPr>
          <w:sz w:val="20"/>
        </w:rPr>
        <w:tab/>
        <w:t>D. Dordevic, N. Gablo, L. Zelenkova, S. Dordevic, and B. Tremlova, “Utilization of Spent Coffee Grounds as a Food By-Product to Produce Edible Films Based on κ-Carrageenan with Biodegradable and Active Properties,” Foods, vol. 13, no. 12, 2024, doi: 10.3390/foods13121833.</w:t>
      </w:r>
    </w:p>
    <w:p w14:paraId="06557BC4" w14:textId="77777777" w:rsidR="00725CDF" w:rsidRPr="00725CDF" w:rsidRDefault="00725CDF" w:rsidP="00C00DEF">
      <w:pPr>
        <w:pStyle w:val="Els-keywords"/>
        <w:spacing w:after="120" w:line="240" w:lineRule="auto"/>
        <w:ind w:left="426" w:hanging="426"/>
        <w:rPr>
          <w:sz w:val="20"/>
        </w:rPr>
      </w:pPr>
      <w:r w:rsidRPr="00725CDF">
        <w:rPr>
          <w:sz w:val="20"/>
        </w:rPr>
        <w:t>[22]</w:t>
      </w:r>
      <w:r w:rsidRPr="00725CDF">
        <w:rPr>
          <w:sz w:val="20"/>
        </w:rPr>
        <w:tab/>
        <w:t>X. Wang et al., “Morphological changes and component characterization of coffee silverskin,” Molecules, vol. 26, no. 16, Aug. 2021, doi: 10.3390/MOLECULES26164914.</w:t>
      </w:r>
    </w:p>
    <w:p w14:paraId="1879D277" w14:textId="77777777" w:rsidR="00725CDF" w:rsidRPr="00725CDF" w:rsidRDefault="00725CDF" w:rsidP="00C00DEF">
      <w:pPr>
        <w:pStyle w:val="Els-keywords"/>
        <w:spacing w:after="120" w:line="240" w:lineRule="auto"/>
        <w:ind w:left="426" w:hanging="426"/>
        <w:rPr>
          <w:sz w:val="20"/>
        </w:rPr>
      </w:pPr>
      <w:r w:rsidRPr="00725CDF">
        <w:rPr>
          <w:sz w:val="20"/>
        </w:rPr>
        <w:t>[23]</w:t>
      </w:r>
      <w:r w:rsidRPr="00725CDF">
        <w:rPr>
          <w:sz w:val="20"/>
        </w:rPr>
        <w:tab/>
        <w:t>I. G. P. Mangku, L. Suriati, D. Gede, and Y. Ardana, “of Food Studies The Effects of Processing Methods on the Quality of Arabica Kintamani Green Beans”.</w:t>
      </w:r>
    </w:p>
    <w:p w14:paraId="148BE4EB" w14:textId="77777777" w:rsidR="00725CDF" w:rsidRPr="00725CDF" w:rsidRDefault="00725CDF" w:rsidP="00C00DEF">
      <w:pPr>
        <w:pStyle w:val="Els-keywords"/>
        <w:spacing w:after="120" w:line="240" w:lineRule="auto"/>
        <w:ind w:left="426" w:hanging="426"/>
        <w:rPr>
          <w:sz w:val="20"/>
        </w:rPr>
      </w:pPr>
      <w:r w:rsidRPr="00725CDF">
        <w:rPr>
          <w:sz w:val="20"/>
        </w:rPr>
        <w:t>[24]</w:t>
      </w:r>
      <w:r w:rsidRPr="00725CDF">
        <w:rPr>
          <w:sz w:val="20"/>
        </w:rPr>
        <w:tab/>
        <w:t>R. Della, V. Mereu, D. Spano, S. Marras, and A. Trabucco, “Projecting trends of arabica coffee yield under climate change : A process-based modelling study at continental scale,” vol. 227, no. February, 2025, doi: 10.1016/j.agsy.2025.104353.</w:t>
      </w:r>
    </w:p>
    <w:p w14:paraId="55D9BC00" w14:textId="77777777" w:rsidR="00725CDF" w:rsidRPr="00725CDF" w:rsidRDefault="00725CDF" w:rsidP="00C00DEF">
      <w:pPr>
        <w:pStyle w:val="Els-keywords"/>
        <w:spacing w:after="120" w:line="240" w:lineRule="auto"/>
        <w:ind w:left="426" w:hanging="426"/>
        <w:rPr>
          <w:sz w:val="20"/>
        </w:rPr>
      </w:pPr>
      <w:r w:rsidRPr="00725CDF">
        <w:rPr>
          <w:sz w:val="20"/>
        </w:rPr>
        <w:t>[25]</w:t>
      </w:r>
      <w:r w:rsidRPr="00725CDF">
        <w:rPr>
          <w:sz w:val="20"/>
        </w:rPr>
        <w:tab/>
        <w:t>H. Khemira, “The Role of Precision Coffee Farming in Mitigating the Biotic and Abiotic Stresses Related to Climate Change in Saudi Arabia : A Review,” pp. 1–26, 2025.</w:t>
      </w:r>
    </w:p>
    <w:p w14:paraId="1D0E216C" w14:textId="77777777" w:rsidR="00725CDF" w:rsidRPr="00725CDF" w:rsidRDefault="00725CDF" w:rsidP="00C00DEF">
      <w:pPr>
        <w:pStyle w:val="Els-keywords"/>
        <w:spacing w:after="120" w:line="240" w:lineRule="auto"/>
        <w:ind w:left="426" w:hanging="426"/>
        <w:rPr>
          <w:sz w:val="20"/>
        </w:rPr>
      </w:pPr>
      <w:r w:rsidRPr="00725CDF">
        <w:rPr>
          <w:sz w:val="20"/>
        </w:rPr>
        <w:t>[26]</w:t>
      </w:r>
      <w:r w:rsidRPr="00725CDF">
        <w:rPr>
          <w:sz w:val="20"/>
        </w:rPr>
        <w:tab/>
        <w:t>P. Ferreira, M. Coimbra, I. Gonçalves, G. Oliveira, and C. Passos, “Coffee By-Products and Their Suitability for Developing Active Food Packaging Materials,” Foods, vol. 10, no. 3, 2021, [Online]. Available: https://www.mdpi.com/2304-8158/10/3/683</w:t>
      </w:r>
    </w:p>
    <w:p w14:paraId="4224E268" w14:textId="77777777" w:rsidR="00725CDF" w:rsidRPr="00725CDF" w:rsidRDefault="00725CDF" w:rsidP="00C00DEF">
      <w:pPr>
        <w:pStyle w:val="Els-keywords"/>
        <w:spacing w:after="120" w:line="240" w:lineRule="auto"/>
        <w:ind w:left="426" w:hanging="426"/>
        <w:rPr>
          <w:sz w:val="20"/>
        </w:rPr>
      </w:pPr>
      <w:r w:rsidRPr="00725CDF">
        <w:rPr>
          <w:sz w:val="20"/>
        </w:rPr>
        <w:lastRenderedPageBreak/>
        <w:t>[27]</w:t>
      </w:r>
      <w:r w:rsidRPr="00725CDF">
        <w:rPr>
          <w:sz w:val="20"/>
        </w:rPr>
        <w:tab/>
        <w:t>B. A. Harsojuwono, I. W. Arnata, A. Hartiati, Y. Setiyo, S. Hatiningsih, and L. Suriati, “The Improvement of the Modified Starch—Glucomannan—Polyvinyl Alcohol Biothermoplastic Composite Characteristics With Polycaprolactone and Anhydride Maleic Acid,” Front. Sustain. Food Syst., vol. 6, no. March, pp. 1–13, 2022, doi: 10.3389/fsufs.2022.844485.</w:t>
      </w:r>
    </w:p>
    <w:p w14:paraId="1C0E9623" w14:textId="77777777" w:rsidR="00725CDF" w:rsidRPr="00725CDF" w:rsidRDefault="00725CDF" w:rsidP="00C00DEF">
      <w:pPr>
        <w:pStyle w:val="Els-keywords"/>
        <w:spacing w:after="120" w:line="240" w:lineRule="auto"/>
        <w:ind w:left="426" w:hanging="426"/>
        <w:rPr>
          <w:sz w:val="20"/>
        </w:rPr>
      </w:pPr>
      <w:r w:rsidRPr="00725CDF">
        <w:rPr>
          <w:sz w:val="20"/>
        </w:rPr>
        <w:t>[28]</w:t>
      </w:r>
      <w:r w:rsidRPr="00725CDF">
        <w:rPr>
          <w:sz w:val="20"/>
        </w:rPr>
        <w:tab/>
        <w:t>H. S. Kwak, Y. Jeong, and M. Kim, “Effect of Yeast Fermentation of Green Coffee Beans on Antioxidant Activity and Consumer Acceptability,” J. Food Qual., vol. 2018, 2018, doi: 10.1155/2018/5967130.</w:t>
      </w:r>
    </w:p>
    <w:p w14:paraId="76A274D5" w14:textId="77777777" w:rsidR="00725CDF" w:rsidRPr="00725CDF" w:rsidRDefault="00725CDF" w:rsidP="00C00DEF">
      <w:pPr>
        <w:pStyle w:val="Els-keywords"/>
        <w:spacing w:after="120" w:line="240" w:lineRule="auto"/>
        <w:ind w:left="426" w:hanging="426"/>
        <w:rPr>
          <w:sz w:val="20"/>
        </w:rPr>
      </w:pPr>
      <w:r w:rsidRPr="00725CDF">
        <w:rPr>
          <w:sz w:val="20"/>
        </w:rPr>
        <w:t>[29]</w:t>
      </w:r>
      <w:r w:rsidRPr="00725CDF">
        <w:rPr>
          <w:sz w:val="20"/>
        </w:rPr>
        <w:tab/>
        <w:t>S. Rizal et al., “Coffee Waste Macro-Particle Enhancement in Biopolymer Materials for Edible Packaging,” Polymers (Basel)., vol. 15, no. 2, 2023, doi: 10.3390/polym15020365.</w:t>
      </w:r>
    </w:p>
    <w:p w14:paraId="51691174" w14:textId="77777777" w:rsidR="00725CDF" w:rsidRPr="00725CDF" w:rsidRDefault="00725CDF" w:rsidP="00C00DEF">
      <w:pPr>
        <w:pStyle w:val="Els-keywords"/>
        <w:spacing w:after="120" w:line="240" w:lineRule="auto"/>
        <w:ind w:left="426" w:hanging="426"/>
        <w:rPr>
          <w:sz w:val="20"/>
        </w:rPr>
      </w:pPr>
      <w:r w:rsidRPr="00725CDF">
        <w:rPr>
          <w:sz w:val="20"/>
        </w:rPr>
        <w:t>[30]</w:t>
      </w:r>
      <w:r w:rsidRPr="00725CDF">
        <w:rPr>
          <w:sz w:val="20"/>
        </w:rPr>
        <w:tab/>
        <w:t>N. Arpi, M. Muzaifa, M. I. Sulaiman, R. Andini, and S. I. Kesuma, “Chemical Characteristics of Cascara, Coffee Cherry Tea, Made of Various Coffee Pulp Treatments,” IOP Conf. Ser. Earth Environ. Sci., vol. 709, no. 1, pp. 0–8, 2021, doi: 10.1088/1755-1315/709/1/012030.</w:t>
      </w:r>
    </w:p>
    <w:p w14:paraId="46CF7591" w14:textId="77777777" w:rsidR="00725CDF" w:rsidRPr="00725CDF" w:rsidRDefault="00725CDF" w:rsidP="00C00DEF">
      <w:pPr>
        <w:pStyle w:val="Els-keywords"/>
        <w:spacing w:after="120" w:line="240" w:lineRule="auto"/>
        <w:ind w:left="426" w:hanging="426"/>
        <w:rPr>
          <w:sz w:val="20"/>
        </w:rPr>
      </w:pPr>
      <w:r w:rsidRPr="00725CDF">
        <w:rPr>
          <w:sz w:val="20"/>
        </w:rPr>
        <w:t>[31]</w:t>
      </w:r>
      <w:r w:rsidRPr="00725CDF">
        <w:rPr>
          <w:sz w:val="20"/>
        </w:rPr>
        <w:tab/>
        <w:t>Y. G. Lee, E. J. Cho, S. Maskey, D. T. Nguyen, and H. J. Bae, “Value-Added Products from Coffee Waste: A Review,” Molecules, vol. 28, no. 8, pp. 1–19, 2023, doi: 10.3390/molecules28083562.</w:t>
      </w:r>
    </w:p>
    <w:p w14:paraId="1FDE2122" w14:textId="77777777" w:rsidR="00725CDF" w:rsidRPr="00725CDF" w:rsidRDefault="00725CDF" w:rsidP="00C00DEF">
      <w:pPr>
        <w:pStyle w:val="Els-keywords"/>
        <w:spacing w:after="120" w:line="240" w:lineRule="auto"/>
        <w:ind w:left="426" w:hanging="426"/>
        <w:rPr>
          <w:sz w:val="20"/>
        </w:rPr>
      </w:pPr>
      <w:r w:rsidRPr="00725CDF">
        <w:rPr>
          <w:sz w:val="20"/>
        </w:rPr>
        <w:t>[32]</w:t>
      </w:r>
      <w:r w:rsidRPr="00725CDF">
        <w:rPr>
          <w:sz w:val="20"/>
        </w:rPr>
        <w:tab/>
        <w:t>E. R. Bray, R. S. Kirsner, and N. T. Issa, “Coffee and skin—Considerations beyond the caffeine perspective,” J. Am. Acad. Dermatol., vol. 82, no. 2, p. e63, 2020, doi: 10.1016/j.jaad.2019.10.022.</w:t>
      </w:r>
    </w:p>
    <w:p w14:paraId="27A9C695" w14:textId="77777777" w:rsidR="00725CDF" w:rsidRPr="00725CDF" w:rsidRDefault="00725CDF" w:rsidP="00C00DEF">
      <w:pPr>
        <w:pStyle w:val="Els-keywords"/>
        <w:spacing w:after="120" w:line="240" w:lineRule="auto"/>
        <w:ind w:left="426" w:hanging="426"/>
        <w:rPr>
          <w:sz w:val="20"/>
        </w:rPr>
      </w:pPr>
      <w:r w:rsidRPr="00725CDF">
        <w:rPr>
          <w:sz w:val="20"/>
        </w:rPr>
        <w:t>[33]</w:t>
      </w:r>
      <w:r w:rsidRPr="00725CDF">
        <w:rPr>
          <w:sz w:val="20"/>
        </w:rPr>
        <w:tab/>
        <w:t>A. I. Petaloti, A. Valtopoulou, C. Gkogkou, and D. S. Achilias, “An Evaluation of the Use of Coffee Silverskin Particles and Extracts as Additives in Wheat Flour/Glucose Mixtures to Produce Bioactive Films for Food Packaging,” Appl. Sci., vol. 14, no. 17, 2024, doi: 10.3390/app14177563.</w:t>
      </w:r>
    </w:p>
    <w:p w14:paraId="37340291" w14:textId="77777777" w:rsidR="00725CDF" w:rsidRPr="00725CDF" w:rsidRDefault="00725CDF" w:rsidP="00C00DEF">
      <w:pPr>
        <w:pStyle w:val="Els-keywords"/>
        <w:spacing w:after="120" w:line="240" w:lineRule="auto"/>
        <w:ind w:left="426" w:hanging="426"/>
        <w:rPr>
          <w:sz w:val="20"/>
        </w:rPr>
      </w:pPr>
      <w:r w:rsidRPr="00725CDF">
        <w:rPr>
          <w:sz w:val="20"/>
        </w:rPr>
        <w:t>[34]</w:t>
      </w:r>
      <w:r w:rsidRPr="00725CDF">
        <w:rPr>
          <w:sz w:val="20"/>
        </w:rPr>
        <w:tab/>
        <w:t>D. Dordevic et al., “Edible/Biodegradable Packaging with the Addition of Spent Coffee Grounds Oil,” Foods, vol. 12, no. 13, pp. 1–12, 2023, doi: 10.3390/foods12132626.</w:t>
      </w:r>
    </w:p>
    <w:p w14:paraId="6153569B" w14:textId="77777777" w:rsidR="00725CDF" w:rsidRPr="00725CDF" w:rsidRDefault="00725CDF" w:rsidP="00C00DEF">
      <w:pPr>
        <w:pStyle w:val="Els-keywords"/>
        <w:spacing w:after="120" w:line="240" w:lineRule="auto"/>
        <w:ind w:left="426" w:hanging="426"/>
        <w:rPr>
          <w:sz w:val="20"/>
        </w:rPr>
      </w:pPr>
      <w:r w:rsidRPr="00725CDF">
        <w:rPr>
          <w:sz w:val="20"/>
        </w:rPr>
        <w:t>[35]</w:t>
      </w:r>
      <w:r w:rsidRPr="00725CDF">
        <w:rPr>
          <w:sz w:val="20"/>
        </w:rPr>
        <w:tab/>
        <w:t>L. S. Torres-Valenzuela, A. Ballesteros-Gómez, and S. Rubio, “Supramolecular solvent extraction of bioactives from coffee cherry pulp,” J. Food Eng., vol. 278, p. 109933, 2020, doi: 10.1016/j.jfoodeng.2020.109933.</w:t>
      </w:r>
    </w:p>
    <w:sectPr w:rsidR="00725CDF" w:rsidRPr="00725CDF" w:rsidSect="00431340">
      <w:type w:val="continuous"/>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A1FCBDC" w14:textId="77777777" w:rsidR="002E35FC" w:rsidRDefault="002E35FC" w:rsidP="00431340">
      <w:pPr>
        <w:spacing w:after="0" w:line="240" w:lineRule="auto"/>
      </w:pPr>
      <w:r>
        <w:separator/>
      </w:r>
    </w:p>
  </w:endnote>
  <w:endnote w:type="continuationSeparator" w:id="0">
    <w:p w14:paraId="570F4D01" w14:textId="77777777" w:rsidR="002E35FC" w:rsidRDefault="002E35FC" w:rsidP="0043134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DengXian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200247B" w:usb2="00000009" w:usb3="00000000" w:csb0="000001FF" w:csb1="00000000"/>
  </w:font>
  <w:font w:name="DengXian">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DD3463" w14:textId="77777777" w:rsidR="00827794" w:rsidRDefault="0082779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85D731" w14:textId="77777777" w:rsidR="00827794" w:rsidRDefault="00827794">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1BEA82" w14:textId="77777777" w:rsidR="00827794" w:rsidRDefault="0082779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01D3382" w14:textId="77777777" w:rsidR="002E35FC" w:rsidRDefault="002E35FC" w:rsidP="00431340">
      <w:pPr>
        <w:spacing w:after="0" w:line="240" w:lineRule="auto"/>
      </w:pPr>
      <w:r>
        <w:separator/>
      </w:r>
    </w:p>
  </w:footnote>
  <w:footnote w:type="continuationSeparator" w:id="0">
    <w:p w14:paraId="33E3B6A7" w14:textId="77777777" w:rsidR="002E35FC" w:rsidRDefault="002E35FC" w:rsidP="0043134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D2432D" w14:textId="77777777" w:rsidR="00827794" w:rsidRDefault="00827794">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D2355A" w14:textId="77777777" w:rsidR="00827794" w:rsidRDefault="00827794">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554CF2" w14:textId="77777777" w:rsidR="00827794" w:rsidRDefault="0082779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6205803"/>
    <w:multiLevelType w:val="multilevel"/>
    <w:tmpl w:val="1E2855A8"/>
    <w:lvl w:ilvl="0">
      <w:start w:val="1"/>
      <w:numFmt w:val="decimal"/>
      <w:pStyle w:val="Els-1storder-head"/>
      <w:suff w:val="space"/>
      <w:lvlText w:val="%1."/>
      <w:lvlJc w:val="left"/>
      <w:pPr>
        <w:ind w:left="0" w:firstLine="0"/>
      </w:pPr>
    </w:lvl>
    <w:lvl w:ilvl="1">
      <w:start w:val="1"/>
      <w:numFmt w:val="decimal"/>
      <w:pStyle w:val="Els-2ndorder-head"/>
      <w:suff w:val="space"/>
      <w:lvlText w:val="%1.%2."/>
      <w:lvlJc w:val="left"/>
      <w:pPr>
        <w:ind w:left="0" w:firstLine="0"/>
      </w:pPr>
    </w:lvl>
    <w:lvl w:ilvl="2">
      <w:start w:val="1"/>
      <w:numFmt w:val="decimal"/>
      <w:pStyle w:val="Els-3rdorder-head"/>
      <w:suff w:val="space"/>
      <w:lvlText w:val="%1.%2.%3."/>
      <w:lvlJc w:val="left"/>
      <w:pPr>
        <w:ind w:left="0" w:firstLine="0"/>
      </w:pPr>
    </w:lvl>
    <w:lvl w:ilvl="3">
      <w:start w:val="1"/>
      <w:numFmt w:val="decimal"/>
      <w:pStyle w:val="Els-4thorder-head"/>
      <w:suff w:val="space"/>
      <w:lvlText w:val="%1.%2.%3.%4."/>
      <w:lvlJc w:val="left"/>
      <w:pPr>
        <w:ind w:left="0" w:firstLine="0"/>
      </w:pPr>
    </w:lvl>
    <w:lvl w:ilvl="4">
      <w:start w:val="1"/>
      <w:numFmt w:val="decimal"/>
      <w:suff w:val="space"/>
      <w:lvlText w:val="%1.%2.%3.%4.%5."/>
      <w:lvlJc w:val="left"/>
      <w:pPr>
        <w:ind w:left="0" w:firstLine="0"/>
      </w:pPr>
    </w:lvl>
    <w:lvl w:ilvl="5">
      <w:start w:val="1"/>
      <w:numFmt w:val="decimal"/>
      <w:suff w:val="space"/>
      <w:lvlText w:val="%1.%2.%3.%4.%5.%6."/>
      <w:lvlJc w:val="left"/>
      <w:pPr>
        <w:ind w:left="0" w:firstLine="0"/>
      </w:pPr>
    </w:lvl>
    <w:lvl w:ilvl="6">
      <w:start w:val="1"/>
      <w:numFmt w:val="decimal"/>
      <w:suff w:val="space"/>
      <w:lvlText w:val="%1.%2.%3.%4.%5.%6.%7."/>
      <w:lvlJc w:val="left"/>
      <w:pPr>
        <w:ind w:left="0" w:firstLine="0"/>
      </w:pPr>
    </w:lvl>
    <w:lvl w:ilvl="7">
      <w:start w:val="1"/>
      <w:numFmt w:val="decimal"/>
      <w:suff w:val="space"/>
      <w:lvlText w:val="%1.%2.%3.%4.%5.%6.%7.%8."/>
      <w:lvlJc w:val="left"/>
      <w:pPr>
        <w:ind w:left="0" w:firstLine="0"/>
      </w:pPr>
    </w:lvl>
    <w:lvl w:ilvl="8">
      <w:start w:val="1"/>
      <w:numFmt w:val="decimal"/>
      <w:suff w:val="space"/>
      <w:lvlText w:val="%1..%3.%4.%5.%6.%7.%8.%9."/>
      <w:lvlJc w:val="left"/>
      <w:pPr>
        <w:ind w:left="0" w:firstLine="0"/>
      </w:pPr>
    </w:lvl>
  </w:abstractNum>
  <w:num w:numId="1" w16cid:durableId="212134092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6"/>
  <w:proofState w:grammar="clean"/>
  <w:defaultTabStop w:val="708"/>
  <w:hyphenationZone w:val="425"/>
  <w:characterSpacingControl w:val="doNotCompress"/>
  <w:hdrShapeDefaults>
    <o:shapedefaults v:ext="edit" spidmax="2050"/>
  </w:hdrShapeDefaults>
  <w:footnotePr>
    <w:numFmt w:val="chicago"/>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ayNDE2NzS2NLM0tjA1sjBR0lEKTi0uzszPAykwrAUAgXZY+ywAAAA="/>
  </w:docVars>
  <w:rsids>
    <w:rsidRoot w:val="00431340"/>
    <w:rsid w:val="001C51B3"/>
    <w:rsid w:val="001F5333"/>
    <w:rsid w:val="00234209"/>
    <w:rsid w:val="002537DA"/>
    <w:rsid w:val="00270F2B"/>
    <w:rsid w:val="002A0A1C"/>
    <w:rsid w:val="002A2B3C"/>
    <w:rsid w:val="002E35FC"/>
    <w:rsid w:val="00372579"/>
    <w:rsid w:val="003B0ABD"/>
    <w:rsid w:val="00431340"/>
    <w:rsid w:val="00446E33"/>
    <w:rsid w:val="004B7E87"/>
    <w:rsid w:val="004C7508"/>
    <w:rsid w:val="004D1125"/>
    <w:rsid w:val="00554697"/>
    <w:rsid w:val="0059506C"/>
    <w:rsid w:val="005B77D8"/>
    <w:rsid w:val="00646E7D"/>
    <w:rsid w:val="00654033"/>
    <w:rsid w:val="00665C88"/>
    <w:rsid w:val="00673656"/>
    <w:rsid w:val="00690E8D"/>
    <w:rsid w:val="006D3652"/>
    <w:rsid w:val="0070599D"/>
    <w:rsid w:val="00725CDF"/>
    <w:rsid w:val="007679DD"/>
    <w:rsid w:val="00772B06"/>
    <w:rsid w:val="007752C7"/>
    <w:rsid w:val="0078067E"/>
    <w:rsid w:val="00781D43"/>
    <w:rsid w:val="00804125"/>
    <w:rsid w:val="00827794"/>
    <w:rsid w:val="009B71F4"/>
    <w:rsid w:val="009C71BA"/>
    <w:rsid w:val="00AC51BF"/>
    <w:rsid w:val="00B60D78"/>
    <w:rsid w:val="00BD071B"/>
    <w:rsid w:val="00BE265A"/>
    <w:rsid w:val="00BF77A7"/>
    <w:rsid w:val="00C00DEF"/>
    <w:rsid w:val="00C17F75"/>
    <w:rsid w:val="00C4616B"/>
    <w:rsid w:val="00C67487"/>
    <w:rsid w:val="00C730DF"/>
    <w:rsid w:val="00CC179B"/>
    <w:rsid w:val="00D10E69"/>
    <w:rsid w:val="00D363A9"/>
    <w:rsid w:val="00D753D4"/>
    <w:rsid w:val="00DD4FF9"/>
    <w:rsid w:val="00F55548"/>
  </w:rsids>
  <m:mathPr>
    <m:mathFont m:val="Cambria Math"/>
    <m:brkBin m:val="before"/>
    <m:brkBinSub m:val="--"/>
    <m:smallFrac m:val="0"/>
    <m:dispDef/>
    <m:lMargin m:val="0"/>
    <m:rMargin m:val="0"/>
    <m:defJc m:val="centerGroup"/>
    <m:wrapIndent m:val="1440"/>
    <m:intLim m:val="subSup"/>
    <m:naryLim m:val="undOvr"/>
  </m:mathPr>
  <w:themeFontLang w:val="nb-NO"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5D8A8A0"/>
  <w14:defaultImageDpi w14:val="330"/>
  <w15:chartTrackingRefBased/>
  <w15:docId w15:val="{93FFE5C1-BAE5-4AF8-9349-7A14C761A2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b-NO"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Els-Abstract-head">
    <w:name w:val="Els-Abstract-head"/>
    <w:next w:val="Normal"/>
    <w:rsid w:val="00431340"/>
    <w:pPr>
      <w:keepNext/>
      <w:pBdr>
        <w:top w:val="single" w:sz="4" w:space="10" w:color="auto"/>
      </w:pBdr>
      <w:suppressAutoHyphens/>
      <w:spacing w:after="220" w:line="220" w:lineRule="exact"/>
    </w:pPr>
    <w:rPr>
      <w:rFonts w:ascii="Times New Roman" w:eastAsia="SimSun" w:hAnsi="Times New Roman" w:cs="Times New Roman"/>
      <w:b/>
      <w:sz w:val="18"/>
      <w:szCs w:val="20"/>
      <w:lang w:val="en-US"/>
    </w:rPr>
  </w:style>
  <w:style w:type="paragraph" w:customStyle="1" w:styleId="Els-Abstract-text">
    <w:name w:val="Els-Abstract-text"/>
    <w:next w:val="Normal"/>
    <w:rsid w:val="00431340"/>
    <w:pPr>
      <w:spacing w:after="0" w:line="220" w:lineRule="exact"/>
      <w:jc w:val="both"/>
    </w:pPr>
    <w:rPr>
      <w:rFonts w:ascii="Times New Roman" w:eastAsia="SimSun" w:hAnsi="Times New Roman" w:cs="Times New Roman"/>
      <w:sz w:val="18"/>
      <w:szCs w:val="20"/>
      <w:lang w:val="en-US"/>
    </w:rPr>
  </w:style>
  <w:style w:type="paragraph" w:customStyle="1" w:styleId="Els-Affiliation">
    <w:name w:val="Els-Affiliation"/>
    <w:next w:val="Els-Abstract-head"/>
    <w:rsid w:val="00431340"/>
    <w:pPr>
      <w:suppressAutoHyphens/>
      <w:spacing w:after="0" w:line="200" w:lineRule="exact"/>
      <w:jc w:val="center"/>
    </w:pPr>
    <w:rPr>
      <w:rFonts w:ascii="Times New Roman" w:eastAsia="SimSun" w:hAnsi="Times New Roman" w:cs="Times New Roman"/>
      <w:i/>
      <w:noProof/>
      <w:sz w:val="16"/>
      <w:szCs w:val="20"/>
      <w:lang w:val="en-US"/>
    </w:rPr>
  </w:style>
  <w:style w:type="paragraph" w:customStyle="1" w:styleId="Els-Author">
    <w:name w:val="Els-Author"/>
    <w:next w:val="Normal"/>
    <w:rsid w:val="00431340"/>
    <w:pPr>
      <w:keepNext/>
      <w:suppressAutoHyphens/>
      <w:spacing w:line="300" w:lineRule="exact"/>
      <w:jc w:val="center"/>
    </w:pPr>
    <w:rPr>
      <w:rFonts w:ascii="Times New Roman" w:eastAsia="SimSun" w:hAnsi="Times New Roman" w:cs="Times New Roman"/>
      <w:noProof/>
      <w:sz w:val="26"/>
      <w:szCs w:val="20"/>
      <w:lang w:val="en-US"/>
    </w:rPr>
  </w:style>
  <w:style w:type="paragraph" w:customStyle="1" w:styleId="Els-footnote">
    <w:name w:val="Els-footnote"/>
    <w:rsid w:val="00431340"/>
    <w:pPr>
      <w:keepLines/>
      <w:widowControl w:val="0"/>
      <w:spacing w:after="0" w:line="200" w:lineRule="exact"/>
      <w:ind w:firstLine="245"/>
      <w:jc w:val="both"/>
    </w:pPr>
    <w:rPr>
      <w:rFonts w:ascii="Times New Roman" w:eastAsia="SimSun" w:hAnsi="Times New Roman" w:cs="Times New Roman"/>
      <w:sz w:val="16"/>
      <w:szCs w:val="20"/>
      <w:lang w:val="en-US"/>
    </w:rPr>
  </w:style>
  <w:style w:type="paragraph" w:customStyle="1" w:styleId="Els-Title">
    <w:name w:val="Els-Title"/>
    <w:next w:val="Els-Author"/>
    <w:autoRedefine/>
    <w:rsid w:val="00C67487"/>
    <w:pPr>
      <w:suppressAutoHyphens/>
      <w:spacing w:after="240" w:line="400" w:lineRule="exact"/>
      <w:jc w:val="center"/>
    </w:pPr>
    <w:rPr>
      <w:rFonts w:ascii="Times New Roman" w:eastAsia="SimSun" w:hAnsi="Times New Roman" w:cs="Times New Roman"/>
      <w:sz w:val="32"/>
      <w:szCs w:val="32"/>
      <w:lang w:val="en-US"/>
    </w:rPr>
  </w:style>
  <w:style w:type="paragraph" w:customStyle="1" w:styleId="DocHead">
    <w:name w:val="DocHead"/>
    <w:rsid w:val="00431340"/>
    <w:pPr>
      <w:spacing w:before="240" w:after="240" w:line="240" w:lineRule="auto"/>
      <w:jc w:val="center"/>
    </w:pPr>
    <w:rPr>
      <w:rFonts w:ascii="Times New Roman" w:eastAsia="SimSun" w:hAnsi="Times New Roman" w:cs="Times New Roman"/>
      <w:sz w:val="24"/>
      <w:szCs w:val="20"/>
      <w:lang w:val="en-US"/>
    </w:rPr>
  </w:style>
  <w:style w:type="paragraph" w:customStyle="1" w:styleId="Els-1storder-head">
    <w:name w:val="Els-1storder-head"/>
    <w:next w:val="Normal"/>
    <w:rsid w:val="00431340"/>
    <w:pPr>
      <w:keepNext/>
      <w:numPr>
        <w:numId w:val="1"/>
      </w:numPr>
      <w:suppressAutoHyphens/>
      <w:spacing w:before="240" w:after="240" w:line="240" w:lineRule="exact"/>
    </w:pPr>
    <w:rPr>
      <w:rFonts w:ascii="Times New Roman" w:eastAsia="SimSun" w:hAnsi="Times New Roman" w:cs="Times New Roman"/>
      <w:b/>
      <w:sz w:val="20"/>
      <w:szCs w:val="20"/>
      <w:lang w:val="en-US"/>
    </w:rPr>
  </w:style>
  <w:style w:type="paragraph" w:customStyle="1" w:styleId="Els-2ndorder-head">
    <w:name w:val="Els-2ndorder-head"/>
    <w:next w:val="Normal"/>
    <w:rsid w:val="00431340"/>
    <w:pPr>
      <w:keepNext/>
      <w:numPr>
        <w:ilvl w:val="1"/>
        <w:numId w:val="1"/>
      </w:numPr>
      <w:suppressAutoHyphens/>
      <w:spacing w:before="240" w:after="240" w:line="240" w:lineRule="exact"/>
    </w:pPr>
    <w:rPr>
      <w:rFonts w:ascii="Times New Roman" w:eastAsia="SimSun" w:hAnsi="Times New Roman" w:cs="Times New Roman"/>
      <w:i/>
      <w:sz w:val="20"/>
      <w:szCs w:val="20"/>
      <w:lang w:val="en-US"/>
    </w:rPr>
  </w:style>
  <w:style w:type="paragraph" w:customStyle="1" w:styleId="Els-3rdorder-head">
    <w:name w:val="Els-3rdorder-head"/>
    <w:next w:val="Normal"/>
    <w:rsid w:val="00431340"/>
    <w:pPr>
      <w:keepNext/>
      <w:numPr>
        <w:ilvl w:val="2"/>
        <w:numId w:val="1"/>
      </w:numPr>
      <w:suppressAutoHyphens/>
      <w:spacing w:before="240" w:after="0" w:line="240" w:lineRule="exact"/>
    </w:pPr>
    <w:rPr>
      <w:rFonts w:ascii="Times New Roman" w:eastAsia="SimSun" w:hAnsi="Times New Roman" w:cs="Times New Roman"/>
      <w:i/>
      <w:sz w:val="20"/>
      <w:szCs w:val="20"/>
      <w:lang w:val="en-US"/>
    </w:rPr>
  </w:style>
  <w:style w:type="paragraph" w:customStyle="1" w:styleId="Els-4thorder-head">
    <w:name w:val="Els-4thorder-head"/>
    <w:next w:val="Normal"/>
    <w:rsid w:val="00431340"/>
    <w:pPr>
      <w:keepNext/>
      <w:numPr>
        <w:ilvl w:val="3"/>
        <w:numId w:val="1"/>
      </w:numPr>
      <w:suppressAutoHyphens/>
      <w:spacing w:before="240" w:after="0" w:line="240" w:lineRule="exact"/>
    </w:pPr>
    <w:rPr>
      <w:rFonts w:ascii="Times New Roman" w:eastAsia="SimSun" w:hAnsi="Times New Roman" w:cs="Times New Roman"/>
      <w:i/>
      <w:sz w:val="20"/>
      <w:szCs w:val="20"/>
      <w:lang w:val="en-US"/>
    </w:rPr>
  </w:style>
  <w:style w:type="paragraph" w:customStyle="1" w:styleId="Els-keywords">
    <w:name w:val="Els-keywords"/>
    <w:next w:val="Normal"/>
    <w:rsid w:val="00431340"/>
    <w:pPr>
      <w:pBdr>
        <w:bottom w:val="single" w:sz="4" w:space="10" w:color="auto"/>
      </w:pBdr>
      <w:spacing w:after="200" w:line="200" w:lineRule="exact"/>
    </w:pPr>
    <w:rPr>
      <w:rFonts w:ascii="Times New Roman" w:eastAsia="SimSun" w:hAnsi="Times New Roman" w:cs="Times New Roman"/>
      <w:noProof/>
      <w:sz w:val="16"/>
      <w:szCs w:val="20"/>
      <w:lang w:val="en-US"/>
    </w:rPr>
  </w:style>
  <w:style w:type="paragraph" w:styleId="Header">
    <w:name w:val="header"/>
    <w:basedOn w:val="Normal"/>
    <w:link w:val="HeaderChar"/>
    <w:uiPriority w:val="99"/>
    <w:unhideWhenUsed/>
    <w:rsid w:val="00D10E69"/>
    <w:pPr>
      <w:tabs>
        <w:tab w:val="center" w:pos="4513"/>
        <w:tab w:val="right" w:pos="9026"/>
      </w:tabs>
      <w:spacing w:after="0" w:line="240" w:lineRule="auto"/>
    </w:pPr>
  </w:style>
  <w:style w:type="character" w:customStyle="1" w:styleId="HeaderChar">
    <w:name w:val="Header Char"/>
    <w:basedOn w:val="DefaultParagraphFont"/>
    <w:link w:val="Header"/>
    <w:uiPriority w:val="99"/>
    <w:rsid w:val="00D10E69"/>
  </w:style>
  <w:style w:type="paragraph" w:styleId="Footer">
    <w:name w:val="footer"/>
    <w:basedOn w:val="Normal"/>
    <w:link w:val="FooterChar"/>
    <w:uiPriority w:val="99"/>
    <w:unhideWhenUsed/>
    <w:rsid w:val="00D10E69"/>
    <w:pPr>
      <w:tabs>
        <w:tab w:val="center" w:pos="4513"/>
        <w:tab w:val="right" w:pos="9026"/>
      </w:tabs>
      <w:spacing w:after="0" w:line="240" w:lineRule="auto"/>
    </w:pPr>
  </w:style>
  <w:style w:type="character" w:customStyle="1" w:styleId="FooterChar">
    <w:name w:val="Footer Char"/>
    <w:basedOn w:val="DefaultParagraphFont"/>
    <w:link w:val="Footer"/>
    <w:uiPriority w:val="99"/>
    <w:rsid w:val="00D10E6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93803990">
      <w:bodyDiv w:val="1"/>
      <w:marLeft w:val="0"/>
      <w:marRight w:val="0"/>
      <w:marTop w:val="0"/>
      <w:marBottom w:val="0"/>
      <w:divBdr>
        <w:top w:val="none" w:sz="0" w:space="0" w:color="auto"/>
        <w:left w:val="none" w:sz="0" w:space="0" w:color="auto"/>
        <w:bottom w:val="none" w:sz="0" w:space="0" w:color="auto"/>
        <w:right w:val="none" w:sz="0" w:space="0" w:color="auto"/>
      </w:divBdr>
    </w:div>
    <w:div w:id="15260225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A11AA24E98C69743A7BF717E9530DB95" ma:contentTypeVersion="9" ma:contentTypeDescription="Create a new document." ma:contentTypeScope="" ma:versionID="4616b87239332432b97eb07286909149">
  <xsd:schema xmlns:xsd="http://www.w3.org/2001/XMLSchema" xmlns:xs="http://www.w3.org/2001/XMLSchema" xmlns:p="http://schemas.microsoft.com/office/2006/metadata/properties" xmlns:ns3="d27d05e4-7e54-4bca-b3a9-641ceb3a267a" targetNamespace="http://schemas.microsoft.com/office/2006/metadata/properties" ma:root="true" ma:fieldsID="72fef82b6cec19807c450b2670b20daf" ns3:_="">
    <xsd:import namespace="d27d05e4-7e54-4bca-b3a9-641ceb3a267a"/>
    <xsd:element name="properties">
      <xsd:complexType>
        <xsd:sequence>
          <xsd:element name="documentManagement">
            <xsd:complexType>
              <xsd:all>
                <xsd:element ref="ns3:MediaServiceDateTaken" minOccurs="0"/>
                <xsd:element ref="ns3:_activity" minOccurs="0"/>
                <xsd:element ref="ns3:MediaServiceMetadata" minOccurs="0"/>
                <xsd:element ref="ns3:MediaServiceFastMetadata" minOccurs="0"/>
                <xsd:element ref="ns3:MediaServiceSearchProperties" minOccurs="0"/>
                <xsd:element ref="ns3:MediaServiceSystemTags" minOccurs="0"/>
                <xsd:element ref="ns3:MediaServiceOCR" minOccurs="0"/>
                <xsd:element ref="ns3:MediaServiceGenerationTime" minOccurs="0"/>
                <xsd:element ref="ns3: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27d05e4-7e54-4bca-b3a9-641ceb3a267a" elementFormDefault="qualified">
    <xsd:import namespace="http://schemas.microsoft.com/office/2006/documentManagement/types"/>
    <xsd:import namespace="http://schemas.microsoft.com/office/infopath/2007/PartnerControls"/>
    <xsd:element name="MediaServiceDateTaken" ma:index="8" nillable="true" ma:displayName="MediaServiceDateTaken" ma:hidden="true" ma:indexed="true" ma:internalName="MediaServiceDateTaken" ma:readOnly="true">
      <xsd:simpleType>
        <xsd:restriction base="dms:Text"/>
      </xsd:simpleType>
    </xsd:element>
    <xsd:element name="_activity" ma:index="9" nillable="true" ma:displayName="_activity" ma:hidden="true" ma:internalName="_activity">
      <xsd:simpleType>
        <xsd:restriction base="dms:Note"/>
      </xsd:simpleType>
    </xsd:element>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SearchProperties" ma:index="12" nillable="true" ma:displayName="MediaServiceSearchProperties" ma:hidden="true" ma:internalName="MediaServiceSearchProperties" ma:readOnly="true">
      <xsd:simpleType>
        <xsd:restriction base="dms:Note"/>
      </xsd:simpleType>
    </xsd:element>
    <xsd:element name="MediaServiceSystemTags" ma:index="13" nillable="true" ma:displayName="MediaServiceSystemTags" ma:hidden="true" ma:internalName="MediaServiceSystemTags" ma:readOnly="true">
      <xsd:simpleType>
        <xsd:restriction base="dms:Note"/>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_activity xmlns="d27d05e4-7e54-4bca-b3a9-641ceb3a267a" xsi:nil="true"/>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136EFCDA-EE0B-4F8D-B7B2-B495F7F5CC5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27d05e4-7e54-4bca-b3a9-641ceb3a267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49A82A5F-72B7-4901-A265-423F78BF8809}">
  <ds:schemaRefs>
    <ds:schemaRef ds:uri="http://schemas.openxmlformats.org/officeDocument/2006/bibliography"/>
  </ds:schemaRefs>
</ds:datastoreItem>
</file>

<file path=customXml/itemProps3.xml><?xml version="1.0" encoding="utf-8"?>
<ds:datastoreItem xmlns:ds="http://schemas.openxmlformats.org/officeDocument/2006/customXml" ds:itemID="{CA939410-E0F5-492F-9F5C-B435CDF4F96A}">
  <ds:schemaRefs>
    <ds:schemaRef ds:uri="http://schemas.microsoft.com/office/2006/metadata/properties"/>
    <ds:schemaRef ds:uri="http://schemas.microsoft.com/office/infopath/2007/PartnerControls"/>
    <ds:schemaRef ds:uri="d27d05e4-7e54-4bca-b3a9-641ceb3a267a"/>
  </ds:schemaRefs>
</ds:datastoreItem>
</file>

<file path=customXml/itemProps4.xml><?xml version="1.0" encoding="utf-8"?>
<ds:datastoreItem xmlns:ds="http://schemas.openxmlformats.org/officeDocument/2006/customXml" ds:itemID="{726F0403-E370-494D-B765-20D2FD758934}">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1506</Words>
  <Characters>8585</Characters>
  <Application>Microsoft Office Word</Application>
  <DocSecurity>0</DocSecurity>
  <Lines>71</Lines>
  <Paragraphs>20</Paragraphs>
  <ScaleCrop>false</ScaleCrop>
  <HeadingPairs>
    <vt:vector size="4" baseType="variant">
      <vt:variant>
        <vt:lpstr>Title</vt:lpstr>
      </vt:variant>
      <vt:variant>
        <vt:i4>1</vt:i4>
      </vt:variant>
      <vt:variant>
        <vt:lpstr>Tittel</vt:lpstr>
      </vt:variant>
      <vt:variant>
        <vt:i4>1</vt:i4>
      </vt:variant>
    </vt:vector>
  </HeadingPairs>
  <TitlesOfParts>
    <vt:vector size="2" baseType="lpstr">
      <vt:lpstr/>
      <vt:lpstr/>
    </vt:vector>
  </TitlesOfParts>
  <Company>NTNU</Company>
  <LinksUpToDate>false</LinksUpToDate>
  <CharactersWithSpaces>10071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Peter Karlsaune</dc:creator>
  <cp:keywords/>
  <dc:description/>
  <cp:lastModifiedBy>luh suriati</cp:lastModifiedBy>
  <cp:revision>2</cp:revision>
  <dcterms:created xsi:type="dcterms:W3CDTF">2026-04-17T14:46:00Z</dcterms:created>
  <dcterms:modified xsi:type="dcterms:W3CDTF">2026-04-17T14:46:00Z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0x010100A11AA24E98C69743A7BF717E9530DB95</vt:lpwstr>
  </property>
  <property fmtid="{D5CDD505-2E9C-101B-9397-08002B2CF9AE}" pid="3" name="GrammarlyDocumentId">
    <vt:lpwstr>f3651f51-d5e7-41f6-8085-87e7d1355cd6</vt:lpwstr>
  </property>
</Properties>
</file>