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4538BFCD" w14:textId="2A16FCB0" w:rsidR="00431340" w:rsidRPr="00C67487" w:rsidRDefault="00684113" w:rsidP="00C67487">
      <w:pPr>
        <w:pStyle w:val="Els-Title"/>
      </w:pPr>
      <w:r w:rsidRPr="00684113">
        <w:t>Research on the Musculoskeletal Health Effects of Yeast Protein</w:t>
      </w:r>
    </w:p>
    <w:p w14:paraId="5E774EED" w14:textId="33433A6B" w:rsidR="00673656" w:rsidRPr="009C71BA" w:rsidRDefault="00684113" w:rsidP="00673656">
      <w:pPr>
        <w:pStyle w:val="Els-Author"/>
        <w:ind w:right="2"/>
        <w:rPr>
          <w:sz w:val="24"/>
          <w:szCs w:val="24"/>
        </w:rPr>
      </w:pPr>
      <w:r>
        <w:rPr>
          <w:rFonts w:hint="eastAsia"/>
          <w:sz w:val="24"/>
          <w:szCs w:val="24"/>
          <w:lang w:val="nb-NO" w:eastAsia="zh-CN"/>
        </w:rPr>
        <w:t>Yu liang</w:t>
      </w:r>
      <w:r w:rsidR="00C67487" w:rsidRPr="009C71BA">
        <w:rPr>
          <w:sz w:val="24"/>
          <w:szCs w:val="24"/>
          <w:vertAlign w:val="superscript"/>
          <w:lang w:val="nb-NO"/>
        </w:rPr>
        <w:t>a</w:t>
      </w:r>
      <w:r>
        <w:rPr>
          <w:rFonts w:hint="eastAsia"/>
          <w:sz w:val="24"/>
          <w:szCs w:val="24"/>
          <w:vertAlign w:val="superscript"/>
          <w:lang w:val="nb-NO" w:eastAsia="zh-CN"/>
        </w:rPr>
        <w:t>, b</w:t>
      </w:r>
      <w:r w:rsidR="00673656" w:rsidRPr="009C71BA">
        <w:rPr>
          <w:sz w:val="24"/>
          <w:szCs w:val="24"/>
          <w:lang w:val="nb-NO"/>
        </w:rPr>
        <w:t xml:space="preserve">, </w:t>
      </w:r>
      <w:r>
        <w:rPr>
          <w:rFonts w:hint="eastAsia"/>
          <w:sz w:val="24"/>
          <w:szCs w:val="24"/>
          <w:lang w:val="nb-NO" w:eastAsia="zh-CN"/>
        </w:rPr>
        <w:t>Tao Hou</w:t>
      </w:r>
      <w:r w:rsidRPr="009C71BA">
        <w:rPr>
          <w:sz w:val="24"/>
          <w:szCs w:val="24"/>
          <w:vertAlign w:val="superscript"/>
          <w:lang w:val="nb-NO"/>
        </w:rPr>
        <w:t>a</w:t>
      </w:r>
      <w:r>
        <w:rPr>
          <w:rFonts w:hint="eastAsia"/>
          <w:sz w:val="24"/>
          <w:szCs w:val="24"/>
          <w:vertAlign w:val="superscript"/>
          <w:lang w:val="nb-NO" w:eastAsia="zh-CN"/>
        </w:rPr>
        <w:t xml:space="preserve">, b </w:t>
      </w:r>
      <w:r w:rsidRPr="009C71BA">
        <w:rPr>
          <w:sz w:val="24"/>
          <w:szCs w:val="24"/>
          <w:vertAlign w:val="superscript"/>
        </w:rPr>
        <w:footnoteReference w:id="1"/>
      </w:r>
    </w:p>
    <w:p w14:paraId="5342D5C1" w14:textId="221BB0DE" w:rsidR="00673656" w:rsidRPr="00673656" w:rsidRDefault="00673656" w:rsidP="00431340">
      <w:pPr>
        <w:pStyle w:val="Els-Author"/>
        <w:ind w:right="2"/>
        <w:rPr>
          <w:sz w:val="28"/>
          <w:szCs w:val="28"/>
        </w:rPr>
        <w:sectPr w:rsidR="00673656" w:rsidRPr="0067365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p>
    <w:p w14:paraId="652CE03F" w14:textId="1560B6CE" w:rsidR="00431340" w:rsidRPr="00234209" w:rsidRDefault="004C7508" w:rsidP="00234209">
      <w:pPr>
        <w:pStyle w:val="Els-Affiliation"/>
        <w:rPr>
          <w:iCs/>
        </w:rPr>
      </w:pPr>
      <w:r>
        <w:rPr>
          <w:vertAlign w:val="superscript"/>
          <w:lang w:val="nb-NO"/>
        </w:rPr>
        <w:t>a</w:t>
      </w:r>
      <w:r w:rsidRPr="00234209">
        <w:rPr>
          <w:lang w:val="nb-NO"/>
        </w:rPr>
        <w:t xml:space="preserve"> </w:t>
      </w:r>
      <w:r w:rsidR="00684113" w:rsidRPr="00684113">
        <w:rPr>
          <w:lang w:val="nb-NO"/>
        </w:rPr>
        <w:t>College of Food Science and Technology, Huazhong Agricultural University, Wuhan 430070, China</w:t>
      </w:r>
      <w:r w:rsidRPr="00234209">
        <w:rPr>
          <w:lang w:val="nb-NO"/>
        </w:rPr>
        <w:t xml:space="preserve"> </w:t>
      </w:r>
    </w:p>
    <w:p w14:paraId="05A3C6FA" w14:textId="14449E61" w:rsidR="00431340" w:rsidRDefault="00234209" w:rsidP="00431340">
      <w:pPr>
        <w:pStyle w:val="Els-Affiliation"/>
        <w:spacing w:after="400"/>
        <w:rPr>
          <w:lang w:eastAsia="zh-CN"/>
        </w:rPr>
      </w:pPr>
      <w:r w:rsidRPr="00234209">
        <w:rPr>
          <w:vertAlign w:val="superscript"/>
          <w:lang w:val="nb-NO"/>
        </w:rPr>
        <w:t>b</w:t>
      </w:r>
      <w:r w:rsidRPr="00234209">
        <w:rPr>
          <w:lang w:val="nb-NO"/>
        </w:rPr>
        <w:t xml:space="preserve"> </w:t>
      </w:r>
      <w:r w:rsidR="00684113" w:rsidRPr="00684113">
        <w:rPr>
          <w:lang w:val="nb-NO"/>
        </w:rPr>
        <w:t>Hubei Key Laboratory of Yeast Function, Yichang, Hubei 443003, China</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0DB0C2C9" w14:textId="4F11E566" w:rsidR="00661A5F" w:rsidRPr="00B41AD0" w:rsidRDefault="00661A5F" w:rsidP="00661A5F">
      <w:pPr>
        <w:pStyle w:val="Els-Abstract-head"/>
        <w:spacing w:before="120" w:after="0" w:line="240" w:lineRule="auto"/>
        <w:jc w:val="both"/>
        <w:rPr>
          <w:rFonts w:hint="eastAsia"/>
          <w:b w:val="0"/>
          <w:sz w:val="20"/>
          <w:lang w:eastAsia="zh-CN"/>
        </w:rPr>
      </w:pPr>
      <w:r w:rsidRPr="00B41AD0">
        <w:rPr>
          <w:b w:val="0"/>
          <w:sz w:val="20"/>
        </w:rPr>
        <w:t xml:space="preserve">Yeast protein (YP) is a highly promising sustainable protein source. It has a protein content of up to 82.4% and an essential amino acid proportion of over 40%, with an amino acid profile close to the ideal protein standard </w:t>
      </w:r>
      <w:r w:rsidR="00B41AD0" w:rsidRPr="00B41AD0">
        <w:rPr>
          <w:rFonts w:eastAsia="楷体"/>
          <w:b w:val="0"/>
          <w:bCs/>
          <w:sz w:val="20"/>
          <w:lang w:val="nb-NO"/>
        </w:rPr>
        <w:fldChar w:fldCharType="begin"/>
      </w:r>
      <w:r w:rsidR="00B41AD0" w:rsidRPr="00B41AD0">
        <w:rPr>
          <w:rFonts w:eastAsia="楷体"/>
          <w:b w:val="0"/>
          <w:bCs/>
          <w:sz w:val="20"/>
          <w:lang w:val="nb-NO"/>
        </w:rPr>
        <w:instrText xml:space="preserve"> ADDIN EN.CITE &lt;EndNote&gt;&lt;Cite&gt;&lt;Author&gt;Timira&lt;/Author&gt;&lt;Year&gt;2024&lt;/Year&gt;&lt;RecNum&gt;27&lt;/RecNum&gt;&lt;DisplayText&gt;[1]&lt;/DisplayText&gt;&lt;record&gt;&lt;rec-number&gt;27&lt;/rec-number&gt;&lt;foreign-keys&gt;&lt;key app="EN" db-id="w5dtv0rdjt52sae2wsbpssw0zezp2f59te92" timestamp="1776773613"&gt;27&lt;/key&gt;&lt;/foreign-keys&gt;&lt;ref-type name="Journal Article"&gt;17&lt;/ref-type&gt;&lt;contributors&gt;&lt;authors&gt;&lt;author&gt;Timira, Vaileth&lt;/author&gt;&lt;author&gt;Chen, Xing&lt;/author&gt;&lt;author&gt;Zhou, Peng&lt;/author&gt;&lt;author&gt;Wu, Junjun&lt;/author&gt;&lt;author&gt;Wang, Tao&lt;/author&gt;&lt;/authors&gt;&lt;/contributors&gt;&lt;titles&gt;&lt;title&gt;Potential use of yeast protein in terms of biorefinery, functionality, and sustainability in food industry&lt;/title&gt;&lt;secondary-title&gt;Comprehensive Reviews in Food Science and Food Safety&lt;/secondary-title&gt;&lt;/titles&gt;&lt;periodical&gt;&lt;full-title&gt;Comprehensive Reviews in Food Science and Food Safety&lt;/full-title&gt;&lt;/periodical&gt;&lt;volume&gt;23&lt;/volume&gt;&lt;number&gt;3&lt;/number&gt;&lt;dates&gt;&lt;year&gt;2024&lt;/year&gt;&lt;/dates&gt;&lt;isbn&gt;1541-4337&amp;#xD;1541-4337&lt;/isbn&gt;&lt;urls&gt;&lt;/urls&gt;&lt;electronic-resource-num&gt;10.1111/1541-4337.13326&lt;/electronic-resource-num&gt;&lt;/record&gt;&lt;/Cite&gt;&lt;/EndNote&gt;</w:instrText>
      </w:r>
      <w:r w:rsidR="00B41AD0" w:rsidRPr="00B41AD0">
        <w:rPr>
          <w:rFonts w:eastAsia="楷体"/>
          <w:b w:val="0"/>
          <w:bCs/>
          <w:sz w:val="20"/>
          <w:lang w:val="nb-NO"/>
        </w:rPr>
        <w:fldChar w:fldCharType="separate"/>
      </w:r>
      <w:r w:rsidR="00B41AD0" w:rsidRPr="00B41AD0">
        <w:rPr>
          <w:rFonts w:eastAsia="楷体"/>
          <w:b w:val="0"/>
          <w:bCs/>
          <w:noProof/>
          <w:sz w:val="20"/>
          <w:lang w:val="nb-NO"/>
        </w:rPr>
        <w:t>[1]</w:t>
      </w:r>
      <w:r w:rsidR="00B41AD0" w:rsidRPr="00B41AD0">
        <w:rPr>
          <w:rFonts w:eastAsia="楷体"/>
          <w:b w:val="0"/>
          <w:bCs/>
          <w:sz w:val="20"/>
          <w:lang w:val="nb-NO"/>
        </w:rPr>
        <w:fldChar w:fldCharType="end"/>
      </w:r>
      <w:r w:rsidRPr="00B41AD0">
        <w:rPr>
          <w:b w:val="0"/>
          <w:sz w:val="20"/>
        </w:rPr>
        <w:t xml:space="preserve">. In addition, YP possesses various beneficial biological activities, including antioxidant, anti-inflammatory, antihypertensive, and antidiabetic effects </w:t>
      </w:r>
      <w:r w:rsidR="00B41AD0" w:rsidRPr="00B41AD0">
        <w:rPr>
          <w:rFonts w:eastAsia="楷体"/>
          <w:b w:val="0"/>
          <w:bCs/>
          <w:sz w:val="20"/>
          <w:lang w:val="nb-NO"/>
        </w:rPr>
        <w:fldChar w:fldCharType="begin"/>
      </w:r>
      <w:r w:rsidR="00B41AD0" w:rsidRPr="00B41AD0">
        <w:rPr>
          <w:rFonts w:eastAsia="楷体"/>
          <w:b w:val="0"/>
          <w:bCs/>
          <w:sz w:val="20"/>
          <w:lang w:val="nb-NO"/>
        </w:rPr>
        <w:instrText xml:space="preserve"> ADDIN EN.CITE &lt;EndNote&gt;&lt;Cite&gt;&lt;Author&gt;Zhao&lt;/Author&gt;&lt;Year&gt;2024&lt;/Year&gt;&lt;RecNum&gt;28&lt;/RecNum&gt;&lt;DisplayText&gt;[2]&lt;/DisplayText&gt;&lt;record&gt;&lt;rec-number&gt;28&lt;/rec-number&gt;&lt;foreign-keys&gt;&lt;key app="EN" db-id="w5dtv0rdjt52sae2wsbpssw0zezp2f59te92" timestamp="1776774006"&gt;28&lt;/key&gt;&lt;/foreign-keys&gt;&lt;ref-type name="Journal Article"&gt;17&lt;/ref-type&gt;&lt;contributors&gt;&lt;authors&gt;&lt;author&gt;Zhao, Yan&lt;/author&gt;&lt;author&gt;Han, Zhaowei&lt;/author&gt;&lt;author&gt;Zhu, Xuchun&lt;/author&gt;&lt;author&gt;Chen, Bingyu&lt;/author&gt;&lt;author&gt;Zhou, Linyi&lt;/author&gt;&lt;author&gt;Liu, Xiaoyong&lt;/author&gt;&lt;author&gt;Liu, Hongzhi&lt;/author&gt;&lt;/authors&gt;&lt;/contributors&gt;&lt;titles&gt;&lt;title&gt;Yeast Proteins: Proteomics, Extraction, Modification, Functional Characterization, and Structure: A Review&lt;/title&gt;&lt;secondary-title&gt;Journal of Agricultural and Food Chemistry&lt;/secondary-title&gt;&lt;/titles&gt;&lt;periodical&gt;&lt;full-title&gt;Journal of Agricultural and Food Chemistry&lt;/full-title&gt;&lt;/periodical&gt;&lt;pages&gt;18774-18793&lt;/pages&gt;&lt;volume&gt;72&lt;/volume&gt;&lt;number&gt;34&lt;/number&gt;&lt;section&gt;18774&lt;/section&gt;&lt;dates&gt;&lt;year&gt;2024&lt;/year&gt;&lt;/dates&gt;&lt;isbn&gt;0021-8561&amp;#xD;1520-5118&lt;/isbn&gt;&lt;urls&gt;&lt;/urls&gt;&lt;electronic-resource-num&gt;10.1021/acs.jafc.4c04821&lt;/electronic-resource-num&gt;&lt;/record&gt;&lt;/Cite&gt;&lt;/EndNote&gt;</w:instrText>
      </w:r>
      <w:r w:rsidR="00B41AD0" w:rsidRPr="00B41AD0">
        <w:rPr>
          <w:rFonts w:eastAsia="楷体"/>
          <w:b w:val="0"/>
          <w:bCs/>
          <w:sz w:val="20"/>
          <w:lang w:val="nb-NO"/>
        </w:rPr>
        <w:fldChar w:fldCharType="separate"/>
      </w:r>
      <w:r w:rsidR="00B41AD0" w:rsidRPr="00B41AD0">
        <w:rPr>
          <w:rFonts w:eastAsia="楷体"/>
          <w:b w:val="0"/>
          <w:bCs/>
          <w:noProof/>
          <w:sz w:val="20"/>
          <w:lang w:val="nb-NO"/>
        </w:rPr>
        <w:t>[2]</w:t>
      </w:r>
      <w:r w:rsidR="00B41AD0" w:rsidRPr="00B41AD0">
        <w:rPr>
          <w:rFonts w:eastAsia="楷体"/>
          <w:b w:val="0"/>
          <w:bCs/>
          <w:sz w:val="20"/>
          <w:lang w:val="nb-NO"/>
        </w:rPr>
        <w:fldChar w:fldCharType="end"/>
      </w:r>
      <w:r w:rsidRPr="00B41AD0">
        <w:rPr>
          <w:b w:val="0"/>
          <w:sz w:val="20"/>
        </w:rPr>
        <w:t>. Therefore, it holds potential as a novel functional food ingredient to meet human health needs.</w:t>
      </w:r>
      <w:r w:rsidRPr="00B41AD0">
        <w:rPr>
          <w:rFonts w:hint="eastAsia"/>
          <w:b w:val="0"/>
          <w:sz w:val="20"/>
          <w:lang w:eastAsia="zh-CN"/>
        </w:rPr>
        <w:t xml:space="preserve"> </w:t>
      </w:r>
      <w:r w:rsidRPr="00B41AD0">
        <w:rPr>
          <w:b w:val="0"/>
          <w:sz w:val="20"/>
        </w:rPr>
        <w:t xml:space="preserve">Osteoporosis (OP), sarcopenia (SP), and their comorbidity, osteosarcopenia (OS), have become global public health concerns. Due to the complex pathogenesis, effective targeted therapeutic strategies are still lacking </w:t>
      </w:r>
      <w:r w:rsidR="00B41AD0" w:rsidRPr="00B41AD0">
        <w:rPr>
          <w:rFonts w:eastAsia="楷体"/>
          <w:b w:val="0"/>
          <w:bCs/>
          <w:sz w:val="20"/>
          <w:lang w:val="nb-NO"/>
        </w:rPr>
        <w:fldChar w:fldCharType="begin"/>
      </w:r>
      <w:r w:rsidR="00B41AD0" w:rsidRPr="00B41AD0">
        <w:rPr>
          <w:rFonts w:eastAsia="楷体"/>
          <w:b w:val="0"/>
          <w:bCs/>
          <w:sz w:val="20"/>
          <w:lang w:val="nb-NO"/>
        </w:rPr>
        <w:instrText xml:space="preserve"> ADDIN EN.CITE &lt;EndNote&gt;&lt;Cite&gt;&lt;Author&gt;Patadia&lt;/Author&gt;&lt;Year&gt;2024&lt;/Year&gt;&lt;RecNum&gt;142&lt;/RecNum&gt;&lt;DisplayText&gt;[3]&lt;/DisplayText&gt;&lt;record&gt;&lt;rec-number&gt;142&lt;/rec-number&gt;&lt;foreign-keys&gt;&lt;key app="EN" db-id="xpdfraftmpvsr8eefdop902bx5sstxwewwd5" timestamp="1761557456"&gt;142&lt;/key&gt;&lt;/foreign-keys&gt;&lt;ref-type name="Journal Article"&gt;17&lt;/ref-type&gt;&lt;contributors&gt;&lt;authors&gt;&lt;author&gt;Patadia, Palak&lt;/author&gt;&lt;author&gt;Considine, Robert V.&lt;/author&gt;&lt;/authors&gt;&lt;/contributors&gt;&lt;titles&gt;&lt;title&gt;Anamorelin: Ghrelin Receptor Agonism as a Potential Intervention for Osteosarcopenia&lt;/title&gt;&lt;secondary-title&gt;The Journal of Clinical Endocrinology &amp;amp; Metabolism&lt;/secondary-title&gt;&lt;/titles&gt;&lt;periodical&gt;&lt;full-title&gt;The Journal of Clinical Endocrinology &amp;amp; Metabolism&lt;/full-title&gt;&lt;/periodical&gt;&lt;pages&gt;e1804-e1805&lt;/pages&gt;&lt;volume&gt;109&lt;/volume&gt;&lt;number&gt;9&lt;/number&gt;&lt;section&gt;e1804&lt;/section&gt;&lt;dates&gt;&lt;year&gt;2024&lt;/year&gt;&lt;/dates&gt;&lt;isbn&gt;0021-972X&amp;#xD;1945-7197&lt;/isbn&gt;&lt;urls&gt;&lt;/urls&gt;&lt;electronic-resource-num&gt;10.1210/clinem/dgae043&lt;/electronic-resource-num&gt;&lt;/record&gt;&lt;/Cite&gt;&lt;/EndNote&gt;</w:instrText>
      </w:r>
      <w:r w:rsidR="00B41AD0" w:rsidRPr="00B41AD0">
        <w:rPr>
          <w:rFonts w:eastAsia="楷体"/>
          <w:b w:val="0"/>
          <w:bCs/>
          <w:sz w:val="20"/>
          <w:lang w:val="nb-NO"/>
        </w:rPr>
        <w:fldChar w:fldCharType="separate"/>
      </w:r>
      <w:r w:rsidR="00B41AD0" w:rsidRPr="00B41AD0">
        <w:rPr>
          <w:rFonts w:eastAsia="楷体"/>
          <w:b w:val="0"/>
          <w:bCs/>
          <w:noProof/>
          <w:sz w:val="20"/>
          <w:lang w:val="nb-NO"/>
        </w:rPr>
        <w:t>[3]</w:t>
      </w:r>
      <w:r w:rsidR="00B41AD0" w:rsidRPr="00B41AD0">
        <w:rPr>
          <w:rFonts w:eastAsia="楷体"/>
          <w:b w:val="0"/>
          <w:bCs/>
          <w:sz w:val="20"/>
          <w:lang w:val="nb-NO"/>
        </w:rPr>
        <w:fldChar w:fldCharType="end"/>
      </w:r>
      <w:r w:rsidRPr="00B41AD0">
        <w:rPr>
          <w:b w:val="0"/>
          <w:sz w:val="20"/>
        </w:rPr>
        <w:t xml:space="preserve">. Current medications for OP have several drawbacks </w:t>
      </w:r>
      <w:r w:rsidR="00B41AD0" w:rsidRPr="00B41AD0">
        <w:rPr>
          <w:rFonts w:eastAsia="楷体"/>
          <w:b w:val="0"/>
          <w:sz w:val="20"/>
          <w:lang w:val="nb-NO"/>
        </w:rPr>
        <w:fldChar w:fldCharType="begin"/>
      </w:r>
      <w:r w:rsidR="00B41AD0" w:rsidRPr="00B41AD0">
        <w:rPr>
          <w:rFonts w:eastAsia="楷体"/>
          <w:b w:val="0"/>
          <w:sz w:val="20"/>
          <w:lang w:val="nb-NO"/>
        </w:rPr>
        <w:instrText xml:space="preserve"> ADDIN EN.CITE &lt;EndNote&gt;&lt;Cite&gt;&lt;Author&gt;Susanne&lt;/Author&gt;&lt;Year&gt;2023&lt;/Year&gt;&lt;RecNum&gt;425&lt;/RecNum&gt;&lt;DisplayText&gt;[4]&lt;/DisplayText&gt;&lt;record&gt;&lt;rec-number&gt;425&lt;/rec-number&gt;&lt;foreign-keys&gt;&lt;key app="EN" db-id="vwf5s59vt95azxe2wwcx0rppfet52ttf999p" timestamp="1701827810"&gt;425&lt;/key&gt;&lt;/foreign-keys&gt;&lt;ref-type name="Journal Article"&gt;17&lt;/ref-type&gt;&lt;contributors&gt;&lt;authors&gt;&lt;author&gt;Trost Susanne&lt;/author&gt;&lt;author&gt;Tesfaye Nolawit&lt;/author&gt;&lt;author&gt;Harindhanavudhi Tasma&lt;/author&gt;&lt;/authors&gt;&lt;/contributors&gt;&lt;auth-address&gt;Division of Diabetes, Endocrinology and Metabolism, Department of Medicine, University of Minnesota, Minneapolis, MN, USA.&lt;/auth-address&gt;&lt;titles&gt;&lt;title&gt;The interplay between bone and heart health as reflected in medication effects: A narrative review. %J Women&amp;apos;s health (London, England)&lt;/title&gt;&lt;/titles&gt;&lt;pages&gt;17455057231165549-17455057231165549&lt;/pages&gt;&lt;volume&gt;19&lt;/volume&gt;&lt;keywords&gt;&lt;keyword&gt;anti-osteoporotic medications&lt;/keyword&gt;&lt;keyword&gt;bone density&lt;/keyword&gt;&lt;keyword&gt;cardiovascular disease&lt;/keyword&gt;&lt;keyword&gt;fracture&lt;/keyword&gt;&lt;keyword&gt;osteoporosis&lt;/keyword&gt;&lt;/keywords&gt;&lt;dates&gt;&lt;year&gt;2023&lt;/year&gt;&lt;/dates&gt;&lt;urls&gt;&lt;related-urls&gt;&lt;url&gt;https://kns.cnki.net/kcms2/article/abstract?v=TzO8JwpG6uimguREVJipuFFHDUcdhfeSlQAF_NoZ4ryLO9m_0v0MJ3SzaDRGfNM5atni9smPgiTT5lh_Gh5r0y1IDH4xIaTn3_ozYP4jpfTtG3yXJSJlY1ediXhh2L1UB3QHZms5NswamsDyZjpEZ538gZnsJHSVDcpol9jv8tU=&amp;amp;uniplatform=NZKPT&amp;amp;language=CHS&lt;/url&gt;&lt;/related-urls&gt;&lt;/urls&gt;&lt;remote-database-provider&gt;Cnki&lt;/remote-database-provider&gt;&lt;/record&gt;&lt;/Cite&gt;&lt;/EndNote&gt;</w:instrText>
      </w:r>
      <w:r w:rsidR="00B41AD0" w:rsidRPr="00B41AD0">
        <w:rPr>
          <w:rFonts w:eastAsia="楷体"/>
          <w:b w:val="0"/>
          <w:sz w:val="20"/>
          <w:lang w:val="nb-NO"/>
        </w:rPr>
        <w:fldChar w:fldCharType="separate"/>
      </w:r>
      <w:r w:rsidR="00B41AD0" w:rsidRPr="00B41AD0">
        <w:rPr>
          <w:rFonts w:eastAsia="楷体"/>
          <w:b w:val="0"/>
          <w:noProof/>
          <w:sz w:val="20"/>
          <w:lang w:val="nb-NO"/>
        </w:rPr>
        <w:t>[4]</w:t>
      </w:r>
      <w:r w:rsidR="00B41AD0" w:rsidRPr="00B41AD0">
        <w:rPr>
          <w:rFonts w:eastAsia="楷体"/>
          <w:b w:val="0"/>
          <w:sz w:val="20"/>
          <w:lang w:val="nb-NO"/>
        </w:rPr>
        <w:fldChar w:fldCharType="end"/>
      </w:r>
      <w:r w:rsidRPr="00B41AD0">
        <w:rPr>
          <w:b w:val="0"/>
          <w:sz w:val="20"/>
        </w:rPr>
        <w:t xml:space="preserve">, and there is no FDA-approved first-line drug for SP </w:t>
      </w:r>
      <w:r w:rsidR="00B41AD0" w:rsidRPr="00B41AD0">
        <w:rPr>
          <w:rFonts w:eastAsia="楷体"/>
          <w:b w:val="0"/>
          <w:bCs/>
          <w:sz w:val="20"/>
          <w:lang w:val="nb-NO"/>
        </w:rPr>
        <w:fldChar w:fldCharType="begin"/>
      </w:r>
      <w:r w:rsidR="00B41AD0" w:rsidRPr="00B41AD0">
        <w:rPr>
          <w:rFonts w:eastAsia="楷体"/>
          <w:b w:val="0"/>
          <w:bCs/>
          <w:sz w:val="20"/>
          <w:lang w:val="nb-NO"/>
        </w:rPr>
        <w:instrText xml:space="preserve"> ADDIN EN.CITE &lt;EndNote&gt;&lt;Cite&gt;&lt;Author&gt;Zhong&lt;/Author&gt;&lt;Year&gt;2023&lt;/Year&gt;&lt;RecNum&gt;1&lt;/RecNum&gt;&lt;DisplayText&gt;[5]&lt;/DisplayText&gt;&lt;record&gt;&lt;rec-number&gt;1&lt;/rec-number&gt;&lt;foreign-keys&gt;&lt;key app="EN" db-id="xpdfraftmpvsr8eefdop902bx5sstxwewwd5" timestamp="1756811332"&gt;1&lt;/key&gt;&lt;/foreign-keys&gt;&lt;ref-type name="Journal Article"&gt;17&lt;/ref-type&gt;&lt;contributors&gt;&lt;authors&gt;&lt;author&gt;Zhong, Qian&lt;/author&gt;&lt;author&gt;Zheng, Kun&lt;/author&gt;&lt;author&gt;Li, Wanmeng&lt;/author&gt;&lt;author&gt;An, Kang&lt;/author&gt;&lt;author&gt;Liu, Yu&lt;/author&gt;&lt;author&gt;Xiao, Xina&lt;/author&gt;&lt;author&gt;Hai, Shan&lt;/author&gt;&lt;author&gt;Dong, Biao&lt;/author&gt;&lt;author&gt;Li, Shuangqing&lt;/author&gt;&lt;author&gt;An, Zhenmei&lt;/author&gt;&lt;author&gt;Dai, Lunzhi&lt;/author&gt;&lt;/authors&gt;&lt;/contributors&gt;&lt;titles&gt;&lt;title&gt;Post‐translational regulation of muscle growth, muscle aging and sarcopenia&lt;/title&gt;&lt;secondary-title&gt;Journal of Cachexia, Sarcopenia and Muscle&lt;/secondary-title&gt;&lt;/titles&gt;&lt;periodical&gt;&lt;full-title&gt;Journal of Cachexia, Sarcopenia and Muscle&lt;/full-title&gt;&lt;/periodical&gt;&lt;pages&gt;1212-1227&lt;/pages&gt;&lt;volume&gt;14&lt;/volume&gt;&lt;number&gt;3&lt;/number&gt;&lt;section&gt;1212&lt;/section&gt;&lt;dates&gt;&lt;year&gt;2023&lt;/year&gt;&lt;/dates&gt;&lt;isbn&gt;2190-5991&amp;#xD;2190-6009&lt;/isbn&gt;&lt;urls&gt;&lt;/urls&gt;&lt;electronic-resource-num&gt;10.1002/jcsm.13241&lt;/electronic-resource-num&gt;&lt;/record&gt;&lt;/Cite&gt;&lt;/EndNote&gt;</w:instrText>
      </w:r>
      <w:r w:rsidR="00B41AD0" w:rsidRPr="00B41AD0">
        <w:rPr>
          <w:rFonts w:eastAsia="楷体"/>
          <w:b w:val="0"/>
          <w:bCs/>
          <w:sz w:val="20"/>
          <w:lang w:val="nb-NO"/>
        </w:rPr>
        <w:fldChar w:fldCharType="separate"/>
      </w:r>
      <w:r w:rsidR="00B41AD0" w:rsidRPr="00B41AD0">
        <w:rPr>
          <w:rFonts w:eastAsia="楷体"/>
          <w:b w:val="0"/>
          <w:bCs/>
          <w:noProof/>
          <w:sz w:val="20"/>
          <w:lang w:val="nb-NO"/>
        </w:rPr>
        <w:t>[5]</w:t>
      </w:r>
      <w:r w:rsidR="00B41AD0" w:rsidRPr="00B41AD0">
        <w:rPr>
          <w:rFonts w:eastAsia="楷体"/>
          <w:b w:val="0"/>
          <w:bCs/>
          <w:sz w:val="20"/>
          <w:lang w:val="nb-NO"/>
        </w:rPr>
        <w:fldChar w:fldCharType="end"/>
      </w:r>
      <w:r w:rsidRPr="00B41AD0">
        <w:rPr>
          <w:b w:val="0"/>
          <w:sz w:val="20"/>
        </w:rPr>
        <w:t>. Consequently, it is crucial to explore effective dietary factors that can promote musculoskeletal health. The unique amino acid profile and favorable bioactivities of YP suggest its potential in modulating musculoskeletal health; however, its specific effects and underlying mechanisms remain unclear.</w:t>
      </w:r>
    </w:p>
    <w:p w14:paraId="7687299F" w14:textId="1C519AA7" w:rsidR="007679DD" w:rsidRDefault="00661A5F" w:rsidP="00C86191">
      <w:pPr>
        <w:pStyle w:val="Els-Abstract-head"/>
        <w:spacing w:before="120" w:after="0" w:line="240" w:lineRule="auto"/>
        <w:jc w:val="both"/>
        <w:rPr>
          <w:b w:val="0"/>
          <w:sz w:val="20"/>
          <w:lang w:eastAsia="zh-CN"/>
        </w:rPr>
      </w:pPr>
      <w:r w:rsidRPr="00661A5F">
        <w:rPr>
          <w:b w:val="0"/>
          <w:sz w:val="20"/>
        </w:rPr>
        <w:t>Therefore, this study investigated the effects of YP on bone and muscle health, respectively.</w:t>
      </w:r>
      <w:r w:rsidRPr="00661A5F">
        <w:t xml:space="preserve"> </w:t>
      </w:r>
      <w:r w:rsidRPr="00661A5F">
        <w:rPr>
          <w:b w:val="0"/>
          <w:sz w:val="20"/>
        </w:rPr>
        <w:t>For bone health</w:t>
      </w:r>
      <w:r>
        <w:rPr>
          <w:rFonts w:hint="eastAsia"/>
          <w:b w:val="0"/>
          <w:sz w:val="20"/>
          <w:lang w:eastAsia="zh-CN"/>
        </w:rPr>
        <w:t xml:space="preserve">: </w:t>
      </w:r>
      <w:r w:rsidRPr="00661A5F">
        <w:rPr>
          <w:b w:val="0"/>
          <w:sz w:val="20"/>
          <w:lang w:eastAsia="zh-CN"/>
        </w:rPr>
        <w:t>YP significantly improved serum calcium and alkaline phosphatase (AKP) levels, apparent calcium absorption and retention rates, bone calcium content, and bone biomechanical properties in rats fed a normal diet (</w:t>
      </w:r>
      <w:r w:rsidRPr="00661A5F">
        <w:rPr>
          <w:b w:val="0"/>
          <w:i/>
          <w:iCs/>
          <w:sz w:val="20"/>
          <w:lang w:eastAsia="zh-CN"/>
        </w:rPr>
        <w:t>P &lt; 0.05</w:t>
      </w:r>
      <w:r w:rsidRPr="00661A5F">
        <w:rPr>
          <w:b w:val="0"/>
          <w:sz w:val="20"/>
          <w:lang w:eastAsia="zh-CN"/>
        </w:rPr>
        <w:t>). YP+CaCO₃ dietary intervention significantly enhanced intestinal calcium absorption, bone length, bone mechanical strength, bone calcium content, and bone formation marker in low‑calcium diet‑fed rats (</w:t>
      </w:r>
      <w:r w:rsidRPr="00661A5F">
        <w:rPr>
          <w:b w:val="0"/>
          <w:i/>
          <w:iCs/>
          <w:sz w:val="20"/>
          <w:lang w:eastAsia="zh-CN"/>
        </w:rPr>
        <w:t>P &lt; 0.05</w:t>
      </w:r>
      <w:r w:rsidRPr="00661A5F">
        <w:rPr>
          <w:b w:val="0"/>
          <w:sz w:val="20"/>
          <w:lang w:eastAsia="zh-CN"/>
        </w:rPr>
        <w:t xml:space="preserve">). YP mainly relies on its excellent calcium chelation </w:t>
      </w:r>
      <w:r w:rsidRPr="00661A5F">
        <w:rPr>
          <w:b w:val="0"/>
          <w:i/>
          <w:iCs/>
          <w:sz w:val="20"/>
          <w:lang w:eastAsia="zh-CN"/>
        </w:rPr>
        <w:t>in vitro</w:t>
      </w:r>
      <w:r w:rsidRPr="00661A5F">
        <w:rPr>
          <w:b w:val="0"/>
          <w:sz w:val="20"/>
          <w:lang w:eastAsia="zh-CN"/>
        </w:rPr>
        <w:t xml:space="preserve"> and continuous calcium release </w:t>
      </w:r>
      <w:r w:rsidRPr="008F7B40">
        <w:rPr>
          <w:b w:val="0"/>
          <w:i/>
          <w:iCs/>
          <w:sz w:val="20"/>
          <w:lang w:eastAsia="zh-CN"/>
        </w:rPr>
        <w:t>in vivo</w:t>
      </w:r>
      <w:r w:rsidRPr="00661A5F">
        <w:rPr>
          <w:b w:val="0"/>
          <w:sz w:val="20"/>
          <w:lang w:eastAsia="zh-CN"/>
        </w:rPr>
        <w:t xml:space="preserve"> to promote calcium absorption and bone synthesis. </w:t>
      </w:r>
      <w:r w:rsidR="00C86191" w:rsidRPr="00C86191">
        <w:rPr>
          <w:b w:val="0"/>
          <w:sz w:val="20"/>
          <w:lang w:eastAsia="zh-CN"/>
        </w:rPr>
        <w:t>For muscle health</w:t>
      </w:r>
      <w:r w:rsidR="00C86191">
        <w:rPr>
          <w:rFonts w:hint="eastAsia"/>
          <w:b w:val="0"/>
          <w:sz w:val="20"/>
          <w:lang w:eastAsia="zh-CN"/>
        </w:rPr>
        <w:t xml:space="preserve">: </w:t>
      </w:r>
      <w:r w:rsidR="00C86191" w:rsidRPr="00C86191">
        <w:rPr>
          <w:b w:val="0"/>
          <w:sz w:val="20"/>
          <w:lang w:eastAsia="zh-CN"/>
        </w:rPr>
        <w:t>2 g/Kg bw of YP (H-YP) significantly ameliorated muscle histopathology, increased serum CAT and SOD activities, enhanced grip strength and hanging endurance, raised muscle ATP and IGF‑1 levels, and decreased MSTN expression in dexamethasone‑induced muscle atrophy mice (</w:t>
      </w:r>
      <w:r w:rsidR="00C86191" w:rsidRPr="007642E5">
        <w:rPr>
          <w:b w:val="0"/>
          <w:i/>
          <w:iCs/>
          <w:sz w:val="20"/>
          <w:lang w:eastAsia="zh-CN"/>
        </w:rPr>
        <w:t>P &lt; 0.05</w:t>
      </w:r>
      <w:r w:rsidR="00C86191" w:rsidRPr="00C86191">
        <w:rPr>
          <w:b w:val="0"/>
          <w:sz w:val="20"/>
          <w:lang w:eastAsia="zh-CN"/>
        </w:rPr>
        <w:t xml:space="preserve">). Mechanistically, </w:t>
      </w:r>
      <w:r w:rsidR="007642E5" w:rsidRPr="007642E5">
        <w:rPr>
          <w:b w:val="0"/>
          <w:sz w:val="20"/>
          <w:lang w:eastAsia="zh-CN"/>
        </w:rPr>
        <w:t xml:space="preserve">H-YP synergistically activated both the IGF-1/PI3K/Akt/FOXO pathway and </w:t>
      </w:r>
      <w:proofErr w:type="spellStart"/>
      <w:r w:rsidR="007642E5" w:rsidRPr="007642E5">
        <w:rPr>
          <w:b w:val="0"/>
          <w:sz w:val="20"/>
          <w:lang w:eastAsia="zh-CN"/>
        </w:rPr>
        <w:t>CaMKK</w:t>
      </w:r>
      <w:proofErr w:type="spellEnd"/>
      <w:r w:rsidR="007642E5" w:rsidRPr="007642E5">
        <w:rPr>
          <w:b w:val="0"/>
          <w:sz w:val="20"/>
          <w:lang w:eastAsia="zh-CN"/>
        </w:rPr>
        <w:t>/AMPK axis, collectively improving insulin sensitivity, mitochondrial function, and protein homeostasis</w:t>
      </w:r>
      <w:r w:rsidR="00C86191" w:rsidRPr="00C86191">
        <w:rPr>
          <w:b w:val="0"/>
          <w:sz w:val="20"/>
          <w:lang w:eastAsia="zh-CN"/>
        </w:rPr>
        <w:t>.</w:t>
      </w:r>
      <w:r w:rsidR="00C86191">
        <w:rPr>
          <w:rFonts w:hint="eastAsia"/>
          <w:b w:val="0"/>
          <w:sz w:val="20"/>
          <w:lang w:eastAsia="zh-CN"/>
        </w:rPr>
        <w:t xml:space="preserve"> </w:t>
      </w:r>
      <w:r w:rsidR="00C86191" w:rsidRPr="00C86191">
        <w:rPr>
          <w:b w:val="0"/>
          <w:sz w:val="20"/>
          <w:lang w:eastAsia="zh-CN"/>
        </w:rPr>
        <w:t>In conclusion, YP is an effective dietary factor for intervening in musculoskeletal health.</w:t>
      </w:r>
    </w:p>
    <w:p w14:paraId="51A1A69D" w14:textId="77777777" w:rsidR="00C86191" w:rsidRPr="00C86191" w:rsidRDefault="00C86191" w:rsidP="00C86191">
      <w:pPr>
        <w:rPr>
          <w:rFonts w:hint="eastAsia"/>
          <w:lang w:val="en-US" w:eastAsia="zh-CN"/>
        </w:rPr>
      </w:pPr>
    </w:p>
    <w:p w14:paraId="0AE07FD0" w14:textId="77777777" w:rsidR="002A0A1C" w:rsidRPr="00C67487" w:rsidRDefault="002A0A1C" w:rsidP="00665C88">
      <w:pPr>
        <w:pStyle w:val="Els-keywords"/>
        <w:spacing w:after="120" w:line="240" w:lineRule="auto"/>
        <w:rPr>
          <w:b/>
          <w:sz w:val="20"/>
        </w:rPr>
      </w:pPr>
      <w:r w:rsidRPr="00C67487">
        <w:rPr>
          <w:b/>
          <w:sz w:val="20"/>
        </w:rPr>
        <w:t>References</w:t>
      </w:r>
    </w:p>
    <w:p w14:paraId="5A6549D4" w14:textId="44FFE405" w:rsidR="00B41AD0" w:rsidRPr="00B41AD0" w:rsidRDefault="00B41AD0" w:rsidP="00665C88">
      <w:pPr>
        <w:pStyle w:val="Els-keywords"/>
        <w:spacing w:after="120" w:line="240" w:lineRule="auto"/>
        <w:rPr>
          <w:sz w:val="20"/>
        </w:rPr>
      </w:pPr>
      <w:r w:rsidRPr="00B41AD0">
        <w:rPr>
          <w:sz w:val="20"/>
        </w:rPr>
        <w:t>[1]</w:t>
      </w:r>
      <w:r w:rsidRPr="00B41AD0">
        <w:rPr>
          <w:rFonts w:hint="eastAsia"/>
          <w:sz w:val="20"/>
          <w:lang w:eastAsia="zh-CN"/>
        </w:rPr>
        <w:t xml:space="preserve"> </w:t>
      </w:r>
      <w:r w:rsidRPr="00B41AD0">
        <w:rPr>
          <w:rFonts w:eastAsia="等线"/>
          <w:kern w:val="2"/>
          <w:sz w:val="20"/>
          <w:lang w:eastAsia="zh-CN"/>
          <w14:ligatures w14:val="standardContextual"/>
        </w:rPr>
        <w:t xml:space="preserve">Timira, V., et al., </w:t>
      </w:r>
      <w:r w:rsidRPr="00B41AD0">
        <w:rPr>
          <w:rFonts w:eastAsia="等线"/>
          <w:i/>
          <w:kern w:val="2"/>
          <w:sz w:val="20"/>
          <w:lang w:eastAsia="zh-CN"/>
          <w14:ligatures w14:val="standardContextual"/>
        </w:rPr>
        <w:t>Potential use of yeast protein in terms of biorefinery, functionality, and sustainability in food industry.</w:t>
      </w:r>
      <w:r w:rsidRPr="00B41AD0">
        <w:rPr>
          <w:rFonts w:eastAsia="等线"/>
          <w:kern w:val="2"/>
          <w:sz w:val="20"/>
          <w:lang w:eastAsia="zh-CN"/>
          <w14:ligatures w14:val="standardContextual"/>
        </w:rPr>
        <w:t xml:space="preserve"> Comprehensive Reviews in Food Science and Food Safety, 2024. </w:t>
      </w:r>
      <w:r w:rsidRPr="00B41AD0">
        <w:rPr>
          <w:rFonts w:eastAsia="等线"/>
          <w:b/>
          <w:kern w:val="2"/>
          <w:sz w:val="20"/>
          <w:lang w:eastAsia="zh-CN"/>
          <w14:ligatures w14:val="standardContextual"/>
        </w:rPr>
        <w:t>23</w:t>
      </w:r>
      <w:r w:rsidRPr="00B41AD0">
        <w:rPr>
          <w:rFonts w:eastAsia="等线"/>
          <w:kern w:val="2"/>
          <w:sz w:val="20"/>
          <w:lang w:eastAsia="zh-CN"/>
          <w14:ligatures w14:val="standardContextual"/>
        </w:rPr>
        <w:t>(3).</w:t>
      </w:r>
    </w:p>
    <w:p w14:paraId="01BC50CA" w14:textId="77777777" w:rsidR="005C7DC1" w:rsidRDefault="00B41AD0" w:rsidP="005C7DC1">
      <w:pPr>
        <w:pStyle w:val="Els-keywords"/>
        <w:spacing w:after="120" w:line="240" w:lineRule="auto"/>
        <w:rPr>
          <w:rFonts w:eastAsia="等线"/>
          <w:sz w:val="20"/>
          <w:lang w:val="nb-NO"/>
        </w:rPr>
      </w:pPr>
      <w:bookmarkStart w:id="4" w:name="OLE_LINK227"/>
      <w:r w:rsidRPr="00B41AD0">
        <w:rPr>
          <w:sz w:val="20"/>
        </w:rPr>
        <w:t>[2]</w:t>
      </w:r>
      <w:bookmarkEnd w:id="4"/>
      <w:r w:rsidRPr="00B41AD0">
        <w:rPr>
          <w:rFonts w:hint="eastAsia"/>
          <w:sz w:val="20"/>
          <w:lang w:eastAsia="zh-CN"/>
        </w:rPr>
        <w:t xml:space="preserve"> </w:t>
      </w:r>
      <w:bookmarkStart w:id="5" w:name="OLE_LINK226"/>
      <w:r w:rsidRPr="00B41AD0">
        <w:rPr>
          <w:rFonts w:eastAsia="等线"/>
          <w:sz w:val="20"/>
          <w:lang w:val="nb-NO"/>
        </w:rPr>
        <w:t xml:space="preserve">Zhao, Y., et al., </w:t>
      </w:r>
      <w:r w:rsidRPr="00B41AD0">
        <w:rPr>
          <w:rFonts w:eastAsia="等线"/>
          <w:i/>
          <w:sz w:val="20"/>
          <w:lang w:val="nb-NO"/>
        </w:rPr>
        <w:t>Yeast Proteins: Proteomics, Extraction, Modification, Functional Characterization, and Structure: A Review.</w:t>
      </w:r>
      <w:r w:rsidRPr="00B41AD0">
        <w:rPr>
          <w:rFonts w:eastAsia="等线"/>
          <w:sz w:val="20"/>
          <w:lang w:val="nb-NO"/>
        </w:rPr>
        <w:t xml:space="preserve"> Journal of Agricultural and Food Chemistry, 2024. </w:t>
      </w:r>
      <w:r w:rsidRPr="00B41AD0">
        <w:rPr>
          <w:rFonts w:eastAsia="等线"/>
          <w:b/>
          <w:sz w:val="20"/>
          <w:lang w:val="nb-NO"/>
        </w:rPr>
        <w:t>72</w:t>
      </w:r>
      <w:r w:rsidRPr="00B41AD0">
        <w:rPr>
          <w:rFonts w:eastAsia="等线"/>
          <w:sz w:val="20"/>
          <w:lang w:val="nb-NO"/>
        </w:rPr>
        <w:t>(34): p. 18774-18793.</w:t>
      </w:r>
      <w:bookmarkStart w:id="6" w:name="OLE_LINK229"/>
      <w:bookmarkEnd w:id="5"/>
    </w:p>
    <w:p w14:paraId="256A3C9D" w14:textId="77777777" w:rsidR="005C7DC1" w:rsidRDefault="00B41AD0" w:rsidP="005C7DC1">
      <w:pPr>
        <w:pStyle w:val="Els-keywords"/>
        <w:spacing w:after="120" w:line="240" w:lineRule="auto"/>
        <w:rPr>
          <w:rFonts w:eastAsia="等线"/>
          <w:sz w:val="20"/>
        </w:rPr>
      </w:pPr>
      <w:r w:rsidRPr="005C7DC1">
        <w:rPr>
          <w:sz w:val="20"/>
        </w:rPr>
        <w:t>[</w:t>
      </w:r>
      <w:r w:rsidRPr="005C7DC1">
        <w:rPr>
          <w:sz w:val="20"/>
          <w:lang w:eastAsia="zh-CN"/>
        </w:rPr>
        <w:t>3</w:t>
      </w:r>
      <w:r w:rsidRPr="005C7DC1">
        <w:rPr>
          <w:sz w:val="20"/>
        </w:rPr>
        <w:t>]</w:t>
      </w:r>
      <w:r w:rsidRPr="005C7DC1">
        <w:rPr>
          <w:sz w:val="20"/>
          <w:lang w:eastAsia="zh-CN"/>
        </w:rPr>
        <w:t xml:space="preserve"> </w:t>
      </w:r>
      <w:bookmarkStart w:id="7" w:name="OLE_LINK228"/>
      <w:bookmarkEnd w:id="6"/>
      <w:r w:rsidRPr="005C7DC1">
        <w:rPr>
          <w:rFonts w:eastAsia="等线"/>
          <w:sz w:val="20"/>
        </w:rPr>
        <w:t xml:space="preserve">Patadia, P. and R.V. Considine, </w:t>
      </w:r>
      <w:r w:rsidRPr="005C7DC1">
        <w:rPr>
          <w:rFonts w:eastAsia="等线"/>
          <w:i/>
          <w:sz w:val="20"/>
        </w:rPr>
        <w:t>Anamorelin: Ghrelin Receptor Agonism as a Potential Intervention for Osteosarcopenia.</w:t>
      </w:r>
      <w:r w:rsidRPr="005C7DC1">
        <w:rPr>
          <w:rFonts w:eastAsia="等线"/>
          <w:sz w:val="20"/>
        </w:rPr>
        <w:t xml:space="preserve"> The Journal of Clinical Endocrinology &amp; Metabolism, 2024. </w:t>
      </w:r>
      <w:r w:rsidRPr="005C7DC1">
        <w:rPr>
          <w:rFonts w:eastAsia="等线"/>
          <w:b/>
          <w:sz w:val="20"/>
        </w:rPr>
        <w:t>109</w:t>
      </w:r>
      <w:r w:rsidRPr="005C7DC1">
        <w:rPr>
          <w:rFonts w:eastAsia="等线"/>
          <w:sz w:val="20"/>
        </w:rPr>
        <w:t>(9): p. e1804-e1805.</w:t>
      </w:r>
      <w:bookmarkStart w:id="8" w:name="OLE_LINK231"/>
      <w:bookmarkEnd w:id="7"/>
    </w:p>
    <w:p w14:paraId="3C69C83F" w14:textId="77777777" w:rsidR="005C7DC1" w:rsidRDefault="00B41AD0" w:rsidP="005C7DC1">
      <w:pPr>
        <w:pStyle w:val="Els-keywords"/>
        <w:spacing w:after="120" w:line="240" w:lineRule="auto"/>
        <w:rPr>
          <w:rFonts w:eastAsia="等线"/>
          <w:kern w:val="2"/>
          <w:sz w:val="20"/>
          <w:lang w:eastAsia="zh-CN"/>
          <w14:ligatures w14:val="standardContextual"/>
        </w:rPr>
      </w:pPr>
      <w:r w:rsidRPr="005C7DC1">
        <w:rPr>
          <w:sz w:val="20"/>
        </w:rPr>
        <w:t>[</w:t>
      </w:r>
      <w:r w:rsidRPr="005C7DC1">
        <w:rPr>
          <w:sz w:val="20"/>
          <w:lang w:eastAsia="zh-CN"/>
        </w:rPr>
        <w:t>4</w:t>
      </w:r>
      <w:r w:rsidRPr="005C7DC1">
        <w:rPr>
          <w:sz w:val="20"/>
        </w:rPr>
        <w:t>]</w:t>
      </w:r>
      <w:r w:rsidRPr="005C7DC1">
        <w:rPr>
          <w:sz w:val="20"/>
          <w:lang w:eastAsia="zh-CN"/>
        </w:rPr>
        <w:t xml:space="preserve"> </w:t>
      </w:r>
      <w:bookmarkEnd w:id="8"/>
      <w:r w:rsidRPr="00B41AD0">
        <w:rPr>
          <w:rFonts w:eastAsia="等线"/>
          <w:kern w:val="2"/>
          <w:sz w:val="20"/>
          <w:lang w:eastAsia="zh-CN"/>
          <w14:ligatures w14:val="standardContextual"/>
        </w:rPr>
        <w:t xml:space="preserve">Susanne, T., T. Nolawit, and H. Tasma, </w:t>
      </w:r>
      <w:r w:rsidRPr="00B41AD0">
        <w:rPr>
          <w:rFonts w:eastAsia="等线"/>
          <w:i/>
          <w:kern w:val="2"/>
          <w:sz w:val="20"/>
          <w:lang w:eastAsia="zh-CN"/>
          <w14:ligatures w14:val="standardContextual"/>
        </w:rPr>
        <w:t>The interplay between bone and heart health as reflected in medication effects: A narrative review. %J Women's health (London, England).</w:t>
      </w:r>
      <w:r w:rsidRPr="00B41AD0">
        <w:rPr>
          <w:rFonts w:eastAsia="等线"/>
          <w:kern w:val="2"/>
          <w:sz w:val="20"/>
          <w:lang w:eastAsia="zh-CN"/>
          <w14:ligatures w14:val="standardContextual"/>
        </w:rPr>
        <w:t xml:space="preserve"> 2023. </w:t>
      </w:r>
      <w:r w:rsidRPr="00B41AD0">
        <w:rPr>
          <w:rFonts w:eastAsia="等线"/>
          <w:b/>
          <w:kern w:val="2"/>
          <w:sz w:val="20"/>
          <w:lang w:eastAsia="zh-CN"/>
          <w14:ligatures w14:val="standardContextual"/>
        </w:rPr>
        <w:t>19</w:t>
      </w:r>
      <w:r w:rsidRPr="00B41AD0">
        <w:rPr>
          <w:rFonts w:eastAsia="等线"/>
          <w:kern w:val="2"/>
          <w:sz w:val="20"/>
          <w:lang w:eastAsia="zh-CN"/>
          <w14:ligatures w14:val="standardContextual"/>
        </w:rPr>
        <w:t>: p. 17455057231165549-17455057231165549.</w:t>
      </w:r>
    </w:p>
    <w:p w14:paraId="48F6E970" w14:textId="703500BA" w:rsidR="00B41AD0" w:rsidRPr="005C7DC1" w:rsidRDefault="00B41AD0" w:rsidP="005C7DC1">
      <w:pPr>
        <w:pStyle w:val="Els-keywords"/>
        <w:spacing w:after="120" w:line="240" w:lineRule="auto"/>
        <w:rPr>
          <w:sz w:val="20"/>
          <w:lang w:eastAsia="zh-CN"/>
        </w:rPr>
      </w:pPr>
      <w:r w:rsidRPr="005C7DC1">
        <w:rPr>
          <w:sz w:val="20"/>
        </w:rPr>
        <w:t>[</w:t>
      </w:r>
      <w:r w:rsidRPr="005C7DC1">
        <w:rPr>
          <w:sz w:val="20"/>
          <w:lang w:eastAsia="zh-CN"/>
        </w:rPr>
        <w:t>5</w:t>
      </w:r>
      <w:r w:rsidRPr="005C7DC1">
        <w:rPr>
          <w:sz w:val="20"/>
        </w:rPr>
        <w:t>]</w:t>
      </w:r>
      <w:r w:rsidRPr="005C7DC1">
        <w:rPr>
          <w:sz w:val="20"/>
          <w:lang w:eastAsia="zh-CN"/>
        </w:rPr>
        <w:t xml:space="preserve"> </w:t>
      </w:r>
      <w:r w:rsidRPr="00B41AD0">
        <w:rPr>
          <w:rFonts w:eastAsia="等线"/>
          <w:kern w:val="2"/>
          <w:sz w:val="20"/>
          <w:lang w:eastAsia="zh-CN"/>
          <w14:ligatures w14:val="standardContextual"/>
        </w:rPr>
        <w:t xml:space="preserve">Zhong, Q., et al., </w:t>
      </w:r>
      <w:r w:rsidRPr="00B41AD0">
        <w:rPr>
          <w:rFonts w:eastAsia="等线"/>
          <w:i/>
          <w:kern w:val="2"/>
          <w:sz w:val="20"/>
          <w:lang w:eastAsia="zh-CN"/>
          <w14:ligatures w14:val="standardContextual"/>
        </w:rPr>
        <w:t>Post‐translational regulation of muscle growth, muscle aging and sarcopenia.</w:t>
      </w:r>
      <w:r w:rsidRPr="00B41AD0">
        <w:rPr>
          <w:rFonts w:eastAsia="等线"/>
          <w:kern w:val="2"/>
          <w:sz w:val="20"/>
          <w:lang w:eastAsia="zh-CN"/>
          <w14:ligatures w14:val="standardContextual"/>
        </w:rPr>
        <w:t xml:space="preserve"> Journal of Cachexia, Sarcopenia and Muscle, 2023. </w:t>
      </w:r>
      <w:r w:rsidRPr="00B41AD0">
        <w:rPr>
          <w:rFonts w:eastAsia="等线"/>
          <w:b/>
          <w:kern w:val="2"/>
          <w:sz w:val="20"/>
          <w:lang w:eastAsia="zh-CN"/>
          <w14:ligatures w14:val="standardContextual"/>
        </w:rPr>
        <w:t>14</w:t>
      </w:r>
      <w:r w:rsidRPr="00B41AD0">
        <w:rPr>
          <w:rFonts w:eastAsia="等线"/>
          <w:kern w:val="2"/>
          <w:sz w:val="20"/>
          <w:lang w:eastAsia="zh-CN"/>
          <w14:ligatures w14:val="standardContextual"/>
        </w:rPr>
        <w:t>(3): p. 1212-1227.</w:t>
      </w:r>
    </w:p>
    <w:p w14:paraId="7BC67066" w14:textId="23EA15AC" w:rsidR="003B0ABD" w:rsidRPr="002537DA" w:rsidRDefault="003B0ABD" w:rsidP="0078067E">
      <w:pPr>
        <w:pStyle w:val="Els-keywords"/>
        <w:spacing w:after="120" w:line="240" w:lineRule="auto"/>
        <w:rPr>
          <w:sz w:val="20"/>
        </w:rPr>
      </w:pPr>
    </w:p>
    <w:sectPr w:rsidR="003B0ABD" w:rsidRPr="002537DA"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2D064" w14:textId="77777777" w:rsidR="00D914FE" w:rsidRDefault="00D914FE" w:rsidP="00431340">
      <w:pPr>
        <w:spacing w:after="0" w:line="240" w:lineRule="auto"/>
      </w:pPr>
      <w:r>
        <w:separator/>
      </w:r>
    </w:p>
  </w:endnote>
  <w:endnote w:type="continuationSeparator" w:id="0">
    <w:p w14:paraId="1E8C2CEA" w14:textId="77777777" w:rsidR="00D914FE" w:rsidRDefault="00D914FE"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CF170" w14:textId="77777777" w:rsidR="00D914FE" w:rsidRDefault="00D914FE" w:rsidP="00431340">
      <w:pPr>
        <w:spacing w:after="0" w:line="240" w:lineRule="auto"/>
      </w:pPr>
      <w:r>
        <w:separator/>
      </w:r>
    </w:p>
  </w:footnote>
  <w:footnote w:type="continuationSeparator" w:id="0">
    <w:p w14:paraId="2E848210" w14:textId="77777777" w:rsidR="00D914FE" w:rsidRDefault="00D914FE" w:rsidP="00431340">
      <w:pPr>
        <w:spacing w:after="0" w:line="240" w:lineRule="auto"/>
      </w:pPr>
      <w:r>
        <w:continuationSeparator/>
      </w:r>
    </w:p>
  </w:footnote>
  <w:footnote w:id="1">
    <w:p w14:paraId="6E6C42E6" w14:textId="7B563723" w:rsidR="00684113" w:rsidRPr="00BF77A7" w:rsidRDefault="00684113" w:rsidP="00684113">
      <w:pPr>
        <w:pStyle w:val="Els-footnote"/>
        <w:ind w:firstLine="120"/>
        <w:rPr>
          <w:sz w:val="18"/>
          <w:szCs w:val="18"/>
        </w:rPr>
      </w:pPr>
      <w:r w:rsidRPr="00BF77A7">
        <w:rPr>
          <w:sz w:val="18"/>
          <w:szCs w:val="18"/>
        </w:rPr>
        <w:t xml:space="preserve">* </w:t>
      </w:r>
      <w:bookmarkStart w:id="0" w:name="_Hlk211087958"/>
      <w:bookmarkStart w:id="1" w:name="_Hlk211087959"/>
      <w:bookmarkStart w:id="2" w:name="_Hlk211088033"/>
      <w:bookmarkStart w:id="3" w:name="_Hlk211088034"/>
      <w:r w:rsidRPr="00BF77A7">
        <w:rPr>
          <w:sz w:val="18"/>
          <w:szCs w:val="18"/>
        </w:rPr>
        <w:t xml:space="preserve">Corresponding author </w:t>
      </w:r>
      <w:r w:rsidRPr="00BF77A7">
        <w:rPr>
          <w:i/>
          <w:iCs/>
          <w:sz w:val="18"/>
          <w:szCs w:val="18"/>
        </w:rPr>
        <w:t>E-mail address:</w:t>
      </w:r>
      <w:r w:rsidRPr="00BF77A7">
        <w:rPr>
          <w:sz w:val="18"/>
          <w:szCs w:val="18"/>
        </w:rPr>
        <w:t xml:space="preserve"> </w:t>
      </w:r>
      <w:bookmarkEnd w:id="0"/>
      <w:bookmarkEnd w:id="1"/>
      <w:bookmarkEnd w:id="2"/>
      <w:bookmarkEnd w:id="3"/>
      <w:r w:rsidR="00B41AD0" w:rsidRPr="00B41AD0">
        <w:rPr>
          <w:sz w:val="18"/>
          <w:szCs w:val="18"/>
          <w:lang w:val="nb-NO"/>
        </w:rPr>
        <w:t>houtao@mail.hzau.edu.cn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1C51B3"/>
    <w:rsid w:val="00234209"/>
    <w:rsid w:val="002537DA"/>
    <w:rsid w:val="002A0A1C"/>
    <w:rsid w:val="002A2B3C"/>
    <w:rsid w:val="00372579"/>
    <w:rsid w:val="003B0ABD"/>
    <w:rsid w:val="00431340"/>
    <w:rsid w:val="004741C0"/>
    <w:rsid w:val="004B7E87"/>
    <w:rsid w:val="004C7508"/>
    <w:rsid w:val="004D1125"/>
    <w:rsid w:val="0059506C"/>
    <w:rsid w:val="005B77D8"/>
    <w:rsid w:val="005C7DC1"/>
    <w:rsid w:val="00646E7D"/>
    <w:rsid w:val="00654033"/>
    <w:rsid w:val="00661A5F"/>
    <w:rsid w:val="00665C88"/>
    <w:rsid w:val="00673656"/>
    <w:rsid w:val="00684113"/>
    <w:rsid w:val="006D3652"/>
    <w:rsid w:val="0070599D"/>
    <w:rsid w:val="007642E5"/>
    <w:rsid w:val="007679DD"/>
    <w:rsid w:val="00772B06"/>
    <w:rsid w:val="007752C7"/>
    <w:rsid w:val="0078067E"/>
    <w:rsid w:val="00781D43"/>
    <w:rsid w:val="00827794"/>
    <w:rsid w:val="008F7B40"/>
    <w:rsid w:val="009C71BA"/>
    <w:rsid w:val="00B41AD0"/>
    <w:rsid w:val="00BE265A"/>
    <w:rsid w:val="00BF77A7"/>
    <w:rsid w:val="00C06AD0"/>
    <w:rsid w:val="00C17F75"/>
    <w:rsid w:val="00C4616B"/>
    <w:rsid w:val="00C67487"/>
    <w:rsid w:val="00C86191"/>
    <w:rsid w:val="00CC179B"/>
    <w:rsid w:val="00D10E69"/>
    <w:rsid w:val="00D44C56"/>
    <w:rsid w:val="00D753D4"/>
    <w:rsid w:val="00D914FE"/>
    <w:rsid w:val="00DD4FF9"/>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ls-Abstract-head">
    <w:name w:val="Els-Abstract-head"/>
    <w:next w:val="a"/>
    <w:rsid w:val="00431340"/>
    <w:pPr>
      <w:keepNext/>
      <w:pBdr>
        <w:top w:val="single" w:sz="4" w:space="10" w:color="auto"/>
      </w:pBdr>
      <w:suppressAutoHyphens/>
      <w:spacing w:after="220" w:line="220" w:lineRule="exact"/>
    </w:pPr>
    <w:rPr>
      <w:rFonts w:ascii="Times New Roman" w:eastAsia="宋体" w:hAnsi="Times New Roman" w:cs="Times New Roman"/>
      <w:b/>
      <w:sz w:val="18"/>
      <w:szCs w:val="20"/>
      <w:lang w:val="en-US"/>
    </w:rPr>
  </w:style>
  <w:style w:type="paragraph" w:customStyle="1" w:styleId="Els-Abstract-text">
    <w:name w:val="Els-Abstract-text"/>
    <w:next w:val="a"/>
    <w:rsid w:val="00431340"/>
    <w:pPr>
      <w:spacing w:after="0" w:line="220" w:lineRule="exact"/>
      <w:jc w:val="both"/>
    </w:pPr>
    <w:rPr>
      <w:rFonts w:ascii="Times New Roman" w:eastAsia="宋体"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宋体" w:hAnsi="Times New Roman" w:cs="Times New Roman"/>
      <w:i/>
      <w:noProof/>
      <w:sz w:val="16"/>
      <w:szCs w:val="20"/>
      <w:lang w:val="en-US"/>
    </w:rPr>
  </w:style>
  <w:style w:type="paragraph" w:customStyle="1" w:styleId="Els-Author">
    <w:name w:val="Els-Author"/>
    <w:next w:val="a"/>
    <w:rsid w:val="00431340"/>
    <w:pPr>
      <w:keepNext/>
      <w:suppressAutoHyphens/>
      <w:spacing w:line="300" w:lineRule="exact"/>
      <w:jc w:val="center"/>
    </w:pPr>
    <w:rPr>
      <w:rFonts w:ascii="Times New Roman" w:eastAsia="宋体"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宋体"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宋体"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宋体" w:hAnsi="Times New Roman" w:cs="Times New Roman"/>
      <w:sz w:val="24"/>
      <w:szCs w:val="20"/>
      <w:lang w:val="en-US"/>
    </w:rPr>
  </w:style>
  <w:style w:type="paragraph" w:customStyle="1" w:styleId="Els-1storder-head">
    <w:name w:val="Els-1storder-head"/>
    <w:next w:val="a"/>
    <w:rsid w:val="00431340"/>
    <w:pPr>
      <w:keepNext/>
      <w:numPr>
        <w:numId w:val="1"/>
      </w:numPr>
      <w:suppressAutoHyphens/>
      <w:spacing w:before="240" w:after="240" w:line="240" w:lineRule="exact"/>
    </w:pPr>
    <w:rPr>
      <w:rFonts w:ascii="Times New Roman" w:eastAsia="宋体" w:hAnsi="Times New Roman" w:cs="Times New Roman"/>
      <w:b/>
      <w:sz w:val="20"/>
      <w:szCs w:val="20"/>
      <w:lang w:val="en-US"/>
    </w:rPr>
  </w:style>
  <w:style w:type="paragraph" w:customStyle="1" w:styleId="Els-2ndorder-head">
    <w:name w:val="Els-2ndorder-head"/>
    <w:next w:val="a"/>
    <w:rsid w:val="00431340"/>
    <w:pPr>
      <w:keepNext/>
      <w:numPr>
        <w:ilvl w:val="1"/>
        <w:numId w:val="1"/>
      </w:numPr>
      <w:suppressAutoHyphens/>
      <w:spacing w:before="240" w:after="240" w:line="240" w:lineRule="exact"/>
    </w:pPr>
    <w:rPr>
      <w:rFonts w:ascii="Times New Roman" w:eastAsia="宋体" w:hAnsi="Times New Roman" w:cs="Times New Roman"/>
      <w:i/>
      <w:sz w:val="20"/>
      <w:szCs w:val="20"/>
      <w:lang w:val="en-US"/>
    </w:rPr>
  </w:style>
  <w:style w:type="paragraph" w:customStyle="1" w:styleId="Els-3rdorder-head">
    <w:name w:val="Els-3rdorder-head"/>
    <w:next w:val="a"/>
    <w:rsid w:val="00431340"/>
    <w:pPr>
      <w:keepNext/>
      <w:numPr>
        <w:ilvl w:val="2"/>
        <w:numId w:val="1"/>
      </w:numPr>
      <w:suppressAutoHyphens/>
      <w:spacing w:before="240" w:after="0" w:line="240" w:lineRule="exact"/>
    </w:pPr>
    <w:rPr>
      <w:rFonts w:ascii="Times New Roman" w:eastAsia="宋体" w:hAnsi="Times New Roman" w:cs="Times New Roman"/>
      <w:i/>
      <w:sz w:val="20"/>
      <w:szCs w:val="20"/>
      <w:lang w:val="en-US"/>
    </w:rPr>
  </w:style>
  <w:style w:type="paragraph" w:customStyle="1" w:styleId="Els-4thorder-head">
    <w:name w:val="Els-4thorder-head"/>
    <w:next w:val="a"/>
    <w:rsid w:val="00431340"/>
    <w:pPr>
      <w:keepNext/>
      <w:numPr>
        <w:ilvl w:val="3"/>
        <w:numId w:val="1"/>
      </w:numPr>
      <w:suppressAutoHyphens/>
      <w:spacing w:before="240" w:after="0" w:line="240" w:lineRule="exact"/>
    </w:pPr>
    <w:rPr>
      <w:rFonts w:ascii="Times New Roman" w:eastAsia="宋体" w:hAnsi="Times New Roman" w:cs="Times New Roman"/>
      <w:i/>
      <w:sz w:val="20"/>
      <w:szCs w:val="20"/>
      <w:lang w:val="en-US"/>
    </w:rPr>
  </w:style>
  <w:style w:type="paragraph" w:customStyle="1" w:styleId="Els-keywords">
    <w:name w:val="Els-keywords"/>
    <w:next w:val="a"/>
    <w:rsid w:val="00431340"/>
    <w:pPr>
      <w:pBdr>
        <w:bottom w:val="single" w:sz="4" w:space="10" w:color="auto"/>
      </w:pBdr>
      <w:spacing w:after="200" w:line="200" w:lineRule="exact"/>
    </w:pPr>
    <w:rPr>
      <w:rFonts w:ascii="Times New Roman" w:eastAsia="宋体" w:hAnsi="Times New Roman" w:cs="Times New Roman"/>
      <w:noProof/>
      <w:sz w:val="16"/>
      <w:szCs w:val="20"/>
      <w:lang w:val="en-US"/>
    </w:rPr>
  </w:style>
  <w:style w:type="paragraph" w:styleId="a3">
    <w:name w:val="header"/>
    <w:basedOn w:val="a"/>
    <w:link w:val="a4"/>
    <w:uiPriority w:val="99"/>
    <w:unhideWhenUsed/>
    <w:rsid w:val="00D10E69"/>
    <w:pPr>
      <w:tabs>
        <w:tab w:val="center" w:pos="4513"/>
        <w:tab w:val="right" w:pos="9026"/>
      </w:tabs>
      <w:spacing w:after="0" w:line="240" w:lineRule="auto"/>
    </w:pPr>
  </w:style>
  <w:style w:type="character" w:customStyle="1" w:styleId="a4">
    <w:name w:val="页眉 字符"/>
    <w:basedOn w:val="a0"/>
    <w:link w:val="a3"/>
    <w:uiPriority w:val="99"/>
    <w:rsid w:val="00D10E69"/>
  </w:style>
  <w:style w:type="paragraph" w:styleId="a5">
    <w:name w:val="footer"/>
    <w:basedOn w:val="a"/>
    <w:link w:val="a6"/>
    <w:uiPriority w:val="99"/>
    <w:unhideWhenUsed/>
    <w:rsid w:val="00D10E69"/>
    <w:pPr>
      <w:tabs>
        <w:tab w:val="center" w:pos="4513"/>
        <w:tab w:val="right" w:pos="9026"/>
      </w:tabs>
      <w:spacing w:after="0" w:line="240" w:lineRule="auto"/>
    </w:pPr>
  </w:style>
  <w:style w:type="character" w:customStyle="1" w:styleId="a6">
    <w:name w:val="页脚 字符"/>
    <w:basedOn w:val="a0"/>
    <w:link w:val="a5"/>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Props1.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2.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4.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1441</Words>
  <Characters>8217</Characters>
  <Application>Microsoft Office Word</Application>
  <DocSecurity>0</DocSecurity>
  <Lines>68</Lines>
  <Paragraphs>19</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yu liang</cp:lastModifiedBy>
  <cp:revision>29</cp:revision>
  <dcterms:created xsi:type="dcterms:W3CDTF">2026-02-04T06:37:00Z</dcterms:created>
  <dcterms:modified xsi:type="dcterms:W3CDTF">2026-04-21T13:40:00Z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