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532C3626" w14:textId="77777777" w:rsidR="00230A7D" w:rsidRDefault="00230A7D" w:rsidP="00673656">
      <w:pPr>
        <w:pStyle w:val="Els-Author"/>
        <w:ind w:right="2"/>
        <w:rPr>
          <w:noProof w:val="0"/>
          <w:sz w:val="32"/>
          <w:szCs w:val="32"/>
        </w:rPr>
      </w:pPr>
      <w:r w:rsidRPr="00230A7D">
        <w:rPr>
          <w:noProof w:val="0"/>
          <w:sz w:val="32"/>
          <w:szCs w:val="32"/>
        </w:rPr>
        <w:t xml:space="preserve">Effects of Dietary Supplements on High-Sensitivity C-Reactive Protein Levels in Healthy Individuals: A Systematic Review and Network Meta-Analysis </w:t>
      </w:r>
    </w:p>
    <w:p w14:paraId="5342D5C1" w14:textId="2051865F" w:rsidR="00673656" w:rsidRPr="00230A7D" w:rsidRDefault="00230A7D" w:rsidP="00431340">
      <w:pPr>
        <w:pStyle w:val="Els-Author"/>
        <w:ind w:right="2"/>
        <w:rPr>
          <w:sz w:val="24"/>
          <w:szCs w:val="24"/>
        </w:rPr>
        <w:sectPr w:rsidR="00673656" w:rsidRPr="00230A7D"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230A7D">
        <w:rPr>
          <w:sz w:val="24"/>
          <w:szCs w:val="18"/>
        </w:rPr>
        <w:t>Weili Hu</w:t>
      </w:r>
      <w:r>
        <w:rPr>
          <w:rFonts w:hint="eastAsia"/>
          <w:sz w:val="24"/>
          <w:szCs w:val="18"/>
          <w:vertAlign w:val="superscript"/>
          <w:lang w:eastAsia="zh-CN"/>
        </w:rPr>
        <w:t>a</w:t>
      </w:r>
      <w:r w:rsidRPr="00230A7D">
        <w:rPr>
          <w:sz w:val="24"/>
          <w:szCs w:val="18"/>
        </w:rPr>
        <w:t>, Xuecong Li</w:t>
      </w:r>
      <w:r>
        <w:rPr>
          <w:rFonts w:hint="eastAsia"/>
          <w:sz w:val="24"/>
          <w:szCs w:val="18"/>
          <w:vertAlign w:val="superscript"/>
          <w:lang w:eastAsia="zh-CN"/>
        </w:rPr>
        <w:t>a</w:t>
      </w:r>
      <w:r w:rsidRPr="00230A7D">
        <w:rPr>
          <w:sz w:val="24"/>
          <w:szCs w:val="18"/>
        </w:rPr>
        <w:t>, Shan May Yong</w:t>
      </w:r>
      <w:r>
        <w:rPr>
          <w:rFonts w:hint="eastAsia"/>
          <w:sz w:val="24"/>
          <w:szCs w:val="18"/>
          <w:vertAlign w:val="superscript"/>
          <w:lang w:eastAsia="zh-CN"/>
        </w:rPr>
        <w:t>b</w:t>
      </w:r>
      <w:r w:rsidRPr="00230A7D">
        <w:rPr>
          <w:sz w:val="24"/>
          <w:szCs w:val="18"/>
        </w:rPr>
        <w:t>, Chin Chin Yau</w:t>
      </w:r>
      <w:r>
        <w:rPr>
          <w:rFonts w:hint="eastAsia"/>
          <w:sz w:val="24"/>
          <w:szCs w:val="18"/>
          <w:vertAlign w:val="superscript"/>
          <w:lang w:eastAsia="zh-CN"/>
        </w:rPr>
        <w:t>b</w:t>
      </w:r>
      <w:r w:rsidRPr="00230A7D">
        <w:rPr>
          <w:sz w:val="24"/>
          <w:szCs w:val="18"/>
        </w:rPr>
        <w:t>,</w:t>
      </w:r>
      <w:r w:rsidRPr="00230A7D">
        <w:rPr>
          <w:rFonts w:hint="eastAsia"/>
          <w:sz w:val="24"/>
          <w:szCs w:val="18"/>
          <w:lang w:eastAsia="zh-CN"/>
        </w:rPr>
        <w:t xml:space="preserve"> Lee</w:t>
      </w:r>
      <w:r w:rsidRPr="00230A7D">
        <w:rPr>
          <w:sz w:val="24"/>
          <w:szCs w:val="18"/>
          <w:lang w:eastAsia="zh-CN"/>
        </w:rPr>
        <w:t xml:space="preserve"> C</w:t>
      </w:r>
      <w:r w:rsidRPr="00230A7D">
        <w:rPr>
          <w:rFonts w:hint="eastAsia"/>
          <w:sz w:val="24"/>
          <w:szCs w:val="18"/>
          <w:lang w:eastAsia="zh-CN"/>
        </w:rPr>
        <w:t xml:space="preserve">heng </w:t>
      </w:r>
      <w:r w:rsidRPr="00230A7D">
        <w:rPr>
          <w:sz w:val="24"/>
          <w:szCs w:val="18"/>
          <w:lang w:eastAsia="zh-CN"/>
        </w:rPr>
        <w:t>Phua</w:t>
      </w:r>
      <w:r>
        <w:rPr>
          <w:rFonts w:hint="eastAsia"/>
          <w:sz w:val="24"/>
          <w:szCs w:val="18"/>
          <w:vertAlign w:val="superscript"/>
          <w:lang w:eastAsia="zh-CN"/>
        </w:rPr>
        <w:t>b</w:t>
      </w:r>
      <w:r w:rsidRPr="00230A7D">
        <w:rPr>
          <w:sz w:val="24"/>
          <w:szCs w:val="18"/>
          <w:vertAlign w:val="superscript"/>
        </w:rPr>
        <w:t>,*</w:t>
      </w:r>
      <w:r w:rsidRPr="00230A7D">
        <w:rPr>
          <w:rFonts w:hint="eastAsia"/>
          <w:sz w:val="24"/>
          <w:szCs w:val="18"/>
          <w:lang w:eastAsia="zh-CN"/>
        </w:rPr>
        <w:t xml:space="preserve">, </w:t>
      </w:r>
      <w:r w:rsidRPr="00230A7D">
        <w:rPr>
          <w:sz w:val="24"/>
          <w:szCs w:val="18"/>
        </w:rPr>
        <w:t>Jung Eun Kim</w:t>
      </w:r>
      <w:r>
        <w:rPr>
          <w:rFonts w:hint="eastAsia"/>
          <w:sz w:val="24"/>
          <w:szCs w:val="18"/>
          <w:vertAlign w:val="superscript"/>
          <w:lang w:eastAsia="zh-CN"/>
        </w:rPr>
        <w:t>a,</w:t>
      </w:r>
      <w:r w:rsidR="00632937">
        <w:rPr>
          <w:rFonts w:hint="eastAsia"/>
          <w:sz w:val="24"/>
          <w:szCs w:val="18"/>
          <w:vertAlign w:val="superscript"/>
          <w:lang w:eastAsia="zh-CN"/>
        </w:rPr>
        <w:t>c</w:t>
      </w:r>
      <w:r w:rsidRPr="00230A7D">
        <w:rPr>
          <w:sz w:val="24"/>
          <w:szCs w:val="18"/>
          <w:vertAlign w:val="superscript"/>
        </w:rPr>
        <w:t>*</w:t>
      </w:r>
    </w:p>
    <w:p w14:paraId="652CE03F" w14:textId="39455034" w:rsidR="00431340" w:rsidRPr="00234209" w:rsidRDefault="004C7508" w:rsidP="00234209">
      <w:pPr>
        <w:pStyle w:val="Els-Affiliation"/>
        <w:rPr>
          <w:iCs/>
          <w:lang w:eastAsia="zh-CN"/>
        </w:rPr>
      </w:pPr>
      <w:r>
        <w:rPr>
          <w:vertAlign w:val="superscript"/>
          <w:lang w:val="nb-NO"/>
        </w:rPr>
        <w:t>a</w:t>
      </w:r>
      <w:r w:rsidRPr="00234209">
        <w:rPr>
          <w:lang w:val="nb-NO"/>
        </w:rPr>
        <w:t xml:space="preserve"> </w:t>
      </w:r>
      <w:r w:rsidR="00230A7D" w:rsidRPr="005D6D97">
        <w:rPr>
          <w:iCs/>
        </w:rPr>
        <w:t>Department of Food Science and Technology, National University of Singapore, Singapore 117543</w:t>
      </w:r>
    </w:p>
    <w:p w14:paraId="05A3C6FA" w14:textId="53E26AC9" w:rsidR="00431340" w:rsidRPr="00230A7D" w:rsidRDefault="00234209" w:rsidP="00230A7D">
      <w:pPr>
        <w:pStyle w:val="Els-Affiliation"/>
        <w:spacing w:after="400"/>
        <w:rPr>
          <w:iCs/>
          <w:lang w:eastAsia="zh-CN"/>
        </w:rPr>
      </w:pPr>
      <w:r w:rsidRPr="00234209">
        <w:rPr>
          <w:vertAlign w:val="superscript"/>
          <w:lang w:val="nb-NO"/>
        </w:rPr>
        <w:t>b</w:t>
      </w:r>
      <w:r w:rsidRPr="00234209">
        <w:rPr>
          <w:lang w:val="nb-NO"/>
        </w:rPr>
        <w:t xml:space="preserve"> </w:t>
      </w:r>
      <w:r w:rsidR="00230A7D" w:rsidRPr="005D6D97">
        <w:rPr>
          <w:iCs/>
        </w:rPr>
        <w:t>Scientific Research, Suntory Beverage &amp; Food Asia Pte. Ltd., Singapore</w:t>
      </w:r>
      <w:r w:rsidR="00230A7D" w:rsidRPr="005D6D97">
        <w:rPr>
          <w:rFonts w:hint="eastAsia"/>
          <w:iCs/>
          <w:lang w:eastAsia="zh-CN"/>
        </w:rPr>
        <w:t xml:space="preserve"> </w:t>
      </w:r>
      <w:r w:rsidR="00230A7D" w:rsidRPr="005D6D97">
        <w:rPr>
          <w:iCs/>
          <w:lang w:eastAsia="zh-CN"/>
        </w:rPr>
        <w:t>138623,</w:t>
      </w:r>
      <w:r w:rsidR="00230A7D" w:rsidRPr="005D6D97">
        <w:rPr>
          <w:rFonts w:hint="eastAsia"/>
          <w:iCs/>
          <w:lang w:eastAsia="zh-CN"/>
        </w:rPr>
        <w:t xml:space="preserve"> Singapore</w:t>
      </w:r>
      <w:r w:rsidR="00230A7D">
        <w:rPr>
          <w:rFonts w:hint="eastAsia"/>
          <w:iCs/>
          <w:lang w:eastAsia="zh-CN"/>
        </w:rPr>
        <w:t xml:space="preserve">                                                                          </w:t>
      </w:r>
      <w:r w:rsidR="00230A7D" w:rsidRPr="005D6D97">
        <w:rPr>
          <w:rFonts w:hint="eastAsia"/>
          <w:iCs/>
          <w:lang w:eastAsia="zh-CN"/>
        </w:rPr>
        <w:t xml:space="preserve"> </w:t>
      </w:r>
      <w:r w:rsidR="00230A7D">
        <w:rPr>
          <w:rFonts w:hint="eastAsia"/>
          <w:vertAlign w:val="superscript"/>
          <w:lang w:val="nb-NO" w:eastAsia="zh-CN"/>
        </w:rPr>
        <w:t>c</w:t>
      </w:r>
      <w:r w:rsidR="00230A7D" w:rsidRPr="00234209">
        <w:rPr>
          <w:lang w:val="nb-NO"/>
        </w:rPr>
        <w:t xml:space="preserve"> </w:t>
      </w:r>
      <w:r w:rsidR="00230A7D" w:rsidRPr="005D6D97">
        <w:rPr>
          <w:rFonts w:eastAsiaTheme="minorEastAsia"/>
          <w:iCs/>
          <w:lang w:eastAsia="zh-CN"/>
        </w:rPr>
        <w:t>Bezos Center for Sustainable Protein, National University of Singapore, Singapore 117643, Singapore</w:t>
      </w:r>
    </w:p>
    <w:p w14:paraId="7715227C" w14:textId="77777777" w:rsidR="00431340" w:rsidRDefault="00431340" w:rsidP="00665C88">
      <w:pPr>
        <w:pStyle w:val="Els-Abstract-head"/>
        <w:spacing w:before="120" w:after="0" w:line="240" w:lineRule="auto"/>
        <w:rPr>
          <w:sz w:val="20"/>
          <w:lang w:eastAsia="zh-CN"/>
        </w:rPr>
      </w:pPr>
      <w:r w:rsidRPr="00BF77A7">
        <w:rPr>
          <w:sz w:val="20"/>
        </w:rPr>
        <w:t>Abstract</w:t>
      </w:r>
    </w:p>
    <w:p w14:paraId="52C776EE" w14:textId="77777777" w:rsidR="00230A7D" w:rsidRPr="00230A7D" w:rsidRDefault="00230A7D" w:rsidP="00230A7D">
      <w:pPr>
        <w:rPr>
          <w:lang w:val="en-US" w:eastAsia="zh-CN"/>
        </w:rPr>
      </w:pPr>
    </w:p>
    <w:p w14:paraId="4CC68A50" w14:textId="5441E622" w:rsidR="00230A7D" w:rsidRPr="00230A7D" w:rsidRDefault="00230A7D" w:rsidP="00230A7D">
      <w:pPr>
        <w:rPr>
          <w:rFonts w:ascii="Times New Roman" w:hAnsi="Times New Roman" w:cs="Times New Roman"/>
          <w:sz w:val="20"/>
          <w:szCs w:val="20"/>
          <w:lang w:val="en-US"/>
        </w:rPr>
      </w:pPr>
      <w:r w:rsidRPr="00230A7D">
        <w:rPr>
          <w:rFonts w:ascii="Times New Roman" w:hAnsi="Times New Roman" w:cs="Times New Roman"/>
          <w:sz w:val="20"/>
          <w:szCs w:val="20"/>
          <w:lang w:val="en-US"/>
        </w:rPr>
        <w:t>Background: Chronic low-grade inflammation is implicated in the development of cardiometabolic and other chronic diseases</w:t>
      </w:r>
      <w:r>
        <w:rPr>
          <w:rFonts w:ascii="Times New Roman" w:hAnsi="Times New Roman" w:cs="Times New Roman" w:hint="eastAsia"/>
          <w:sz w:val="20"/>
          <w:szCs w:val="20"/>
          <w:lang w:val="en-US"/>
        </w:rPr>
        <w:t xml:space="preserve"> </w:t>
      </w:r>
      <w:r w:rsidRPr="00230A7D">
        <w:rPr>
          <w:rFonts w:ascii="Times New Roman" w:hAnsi="Times New Roman" w:cs="Times New Roman"/>
          <w:sz w:val="20"/>
          <w:szCs w:val="20"/>
          <w:lang w:val="en-US"/>
        </w:rPr>
        <w:fldChar w:fldCharType="begin"/>
      </w:r>
      <w:r w:rsidRPr="00230A7D">
        <w:rPr>
          <w:rFonts w:ascii="Times New Roman" w:hAnsi="Times New Roman" w:cs="Times New Roman"/>
          <w:sz w:val="20"/>
          <w:szCs w:val="20"/>
          <w:lang w:val="en-US"/>
        </w:rPr>
        <w:instrText xml:space="preserve"> ADDIN ZOTERO_ITEM CSL_CITATION {"citationID":"7g7eV6py","properties":{"formattedCitation":"[1,2]","plainCitation":"[1,2]","noteIndex":0},"citationItems":[{"id":5315,"uris":["http://zotero.org/users/9615481/items/KLVX9C3V"],"itemData":{"id":5315,"type":"article-journal","abstract":"In this review article, Göran Hansson, a pioneer in the study of the role of inflammation in atherosclerosis and coronary artery disease, summarizes new ideas on the pathogenesis of acute coronary syndromes. Göran Hansson, a pioneer in the study of the role of inflammation in atherosclerosis and coronary artery disease, summarizes new ideas on the pathogenesis of acute coronary syndromes. Recent research has shown that inflammation plays a key role in coronary artery disease (CAD) and other manifestations of atherosclerosis. Immune cells dominate early atherosclerotic lesions, their effector molecules accelerate progression of the lesions, and activation of inflammation can elicit acute coronary syndromes. This review highlights the role of inflammation in the pathogenesis of atherosclerotic CAD. It will recount the evidence that atherosclerosis, the main cause of CAD, is an inflammatory disease in which immune mechanisms interact with metabolic risk factors to initiate, propagate, and activate lesions in the arterial tree. A decade ago, the treatment of hypercholesterolemia and hypertension . . .","container-title":"New England Journal of Medicine","DOI":"10.1056/NEJMra043430","ISSN":"0028-4793","issue":"16","note":"_eprint: https://www.nejm.org/doi/pdf/10.1056/NEJMra043430","page":"1685-1695","publisher":"Massachusetts Medical Society","source":"Taylor and Francis+NEJM","title":"Inflammation, Atherosclerosis, and Coronary Artery Disease","volume":"352","author":[{"family":"Hansson","given":"Göran K."}],"issued":{"date-parts":[["2005",4,21]]}},"label":"page"},{"id":5329,"uris":["http://zotero.org/users/9615481/items/S7XCC9LL"],"itemData":{"id":5329,"type":"article-journal","abstract":"Osteoarthritis (OA) represents the failure of the joint as an organSynovitis is increasingly recognized as a characteristic of the OA joint, and its presence is associated with increased severity of symptoms, joint dysfunction, and cartilage lossStudies in humans and animal models demonstrate a key role for chronic, low-grade inflammation in the pathogenesis of OAInnate immune pathways, such as the complement and pattern-recognition receptor pathways, are pivotal to the inflammation in OAClinical trials are needed to determine whether anti-inflammatory therapeutics can prevent or slow disease progression in OA","container-title":"Nature Reviews Rheumatology","DOI":"10.1038/nrrheum.2016.136","ISSN":"1759-4804","issue":"10","journalAbbreviation":"Nat Rev Rheumatol","language":"en","license":"2016 Springer Nature Limited","page":"580-592","publisher":"Nature Publishing Group","source":"www.nature.com","title":"Low-grade inflammation as a key mediator of the pathogenesis of osteoarthritis","volume":"12","author":[{"family":"Robinson","given":"William H."},{"family":"Lepus","given":"Christin M."},{"family":"Wang","given":"Qian"},{"family":"Raghu","given":"Harini"},{"family":"Mao","given":"Rong"},{"family":"Lindstrom","given":"Tamsin M."},{"family":"Sokolove","given":"Jeremy"}],"issued":{"date-parts":[["2016",10]]}},"label":"page"}],"schema":"https://github.com/citation-style-language/schema/raw/master/csl-citation.json"} </w:instrText>
      </w:r>
      <w:r w:rsidRPr="00230A7D">
        <w:rPr>
          <w:rFonts w:ascii="Times New Roman" w:hAnsi="Times New Roman" w:cs="Times New Roman"/>
          <w:sz w:val="20"/>
          <w:szCs w:val="20"/>
          <w:lang w:val="en-US"/>
        </w:rPr>
        <w:fldChar w:fldCharType="separate"/>
      </w:r>
      <w:r w:rsidRPr="00230A7D">
        <w:rPr>
          <w:rFonts w:ascii="Times New Roman" w:hAnsi="Times New Roman" w:cs="Times New Roman"/>
          <w:sz w:val="20"/>
          <w:szCs w:val="20"/>
          <w:lang w:val="en-US"/>
        </w:rPr>
        <w:t>[1,2]</w:t>
      </w:r>
      <w:r w:rsidRPr="00230A7D">
        <w:rPr>
          <w:rFonts w:ascii="Times New Roman" w:hAnsi="Times New Roman" w:cs="Times New Roman"/>
          <w:sz w:val="20"/>
          <w:szCs w:val="20"/>
          <w:lang w:val="en-US"/>
        </w:rPr>
        <w:fldChar w:fldCharType="end"/>
      </w:r>
      <w:r w:rsidRPr="00230A7D">
        <w:rPr>
          <w:rFonts w:ascii="Times New Roman" w:hAnsi="Times New Roman" w:cs="Times New Roman"/>
          <w:sz w:val="20"/>
          <w:szCs w:val="20"/>
          <w:lang w:val="en-US"/>
        </w:rPr>
        <w:t>. High-sensitivity C-reactive protein (</w:t>
      </w:r>
      <w:proofErr w:type="spellStart"/>
      <w:r w:rsidRPr="00230A7D">
        <w:rPr>
          <w:rFonts w:ascii="Times New Roman" w:hAnsi="Times New Roman" w:cs="Times New Roman"/>
          <w:sz w:val="20"/>
          <w:szCs w:val="20"/>
          <w:lang w:val="en-US"/>
        </w:rPr>
        <w:t>hsCRP</w:t>
      </w:r>
      <w:proofErr w:type="spellEnd"/>
      <w:r w:rsidRPr="00230A7D">
        <w:rPr>
          <w:rFonts w:ascii="Times New Roman" w:hAnsi="Times New Roman" w:cs="Times New Roman"/>
          <w:sz w:val="20"/>
          <w:szCs w:val="20"/>
          <w:lang w:val="en-US"/>
        </w:rPr>
        <w:t>) is widely used as a clinical biomarker of systemic inflammation</w:t>
      </w:r>
      <w:r w:rsidR="00A91865">
        <w:rPr>
          <w:rFonts w:ascii="Times New Roman" w:hAnsi="Times New Roman" w:cs="Times New Roman" w:hint="eastAsia"/>
          <w:sz w:val="20"/>
          <w:szCs w:val="20"/>
          <w:lang w:val="en-US" w:eastAsia="zh-CN"/>
        </w:rPr>
        <w:t xml:space="preserve"> </w:t>
      </w:r>
      <w:r w:rsidR="00A91865" w:rsidRPr="00230A7D">
        <w:rPr>
          <w:rFonts w:ascii="Times New Roman" w:hAnsi="Times New Roman" w:cs="Times New Roman"/>
          <w:sz w:val="20"/>
          <w:szCs w:val="20"/>
          <w:lang w:val="en-US"/>
        </w:rPr>
        <w:fldChar w:fldCharType="begin"/>
      </w:r>
      <w:r w:rsidR="00A91865" w:rsidRPr="00230A7D">
        <w:rPr>
          <w:rFonts w:ascii="Times New Roman" w:hAnsi="Times New Roman" w:cs="Times New Roman"/>
          <w:sz w:val="20"/>
          <w:szCs w:val="20"/>
          <w:lang w:val="en-US"/>
        </w:rPr>
        <w:instrText xml:space="preserve"> ADDIN ZOTERO_ITEM CSL_CITATION {"citationID":"G9WZmmTX","properties":{"formattedCitation":"[3]","plainCitation":"[3]","noteIndex":0},"citationItems":[{"id":5330,"uris":["http://zotero.org/users/9615481/items/NACVEKIB"],"itemData":{"id":5330,"type":"article-journal","container-title":"Circulation","DOI":"10.1161/01.CIR.0000053730.47739.3C","issue":"3","page":"363-369","publisher":"American Heart Association","source":"ahajournals.org (Atypon)","title":"Clinical Application of C-Reactive Protein for Cardiovascular Disease Detection and Prevention","volume":"107","author":[{"family":"Ridker","given":"Paul M"}],"issued":{"date-parts":[["2003",1,28]]}}}],"schema":"https://github.com/citation-style-language/schema/raw/master/csl-citation.json"} </w:instrText>
      </w:r>
      <w:r w:rsidR="00A91865" w:rsidRPr="00230A7D">
        <w:rPr>
          <w:rFonts w:ascii="Times New Roman" w:hAnsi="Times New Roman" w:cs="Times New Roman"/>
          <w:sz w:val="20"/>
          <w:szCs w:val="20"/>
          <w:lang w:val="en-US"/>
        </w:rPr>
        <w:fldChar w:fldCharType="separate"/>
      </w:r>
      <w:r w:rsidR="00A91865" w:rsidRPr="00230A7D">
        <w:rPr>
          <w:rFonts w:ascii="Times New Roman" w:hAnsi="Times New Roman" w:cs="Times New Roman"/>
          <w:sz w:val="20"/>
          <w:szCs w:val="20"/>
          <w:lang w:val="en-US"/>
        </w:rPr>
        <w:t>[3]</w:t>
      </w:r>
      <w:r w:rsidR="00A91865" w:rsidRPr="00230A7D">
        <w:rPr>
          <w:rFonts w:ascii="Times New Roman" w:hAnsi="Times New Roman" w:cs="Times New Roman"/>
          <w:sz w:val="20"/>
          <w:szCs w:val="20"/>
          <w:lang w:val="en-US"/>
        </w:rPr>
        <w:fldChar w:fldCharType="end"/>
      </w:r>
      <w:r w:rsidRPr="00230A7D">
        <w:rPr>
          <w:rFonts w:ascii="Times New Roman" w:hAnsi="Times New Roman" w:cs="Times New Roman"/>
          <w:sz w:val="20"/>
          <w:szCs w:val="20"/>
          <w:lang w:val="en-US"/>
        </w:rPr>
        <w:t xml:space="preserve">, yet the comparative effects of dietary supplements on </w:t>
      </w:r>
      <w:proofErr w:type="spellStart"/>
      <w:r w:rsidRPr="00230A7D">
        <w:rPr>
          <w:rFonts w:ascii="Times New Roman" w:hAnsi="Times New Roman" w:cs="Times New Roman"/>
          <w:sz w:val="20"/>
          <w:szCs w:val="20"/>
          <w:lang w:val="en-US"/>
        </w:rPr>
        <w:t>hsCRP</w:t>
      </w:r>
      <w:proofErr w:type="spellEnd"/>
      <w:r w:rsidRPr="00230A7D">
        <w:rPr>
          <w:rFonts w:ascii="Times New Roman" w:hAnsi="Times New Roman" w:cs="Times New Roman"/>
          <w:sz w:val="20"/>
          <w:szCs w:val="20"/>
          <w:lang w:val="en-US"/>
        </w:rPr>
        <w:t xml:space="preserve"> and inflammation-related cytokines in healthy populations remain unclear.</w:t>
      </w:r>
    </w:p>
    <w:p w14:paraId="77B507A9" w14:textId="77777777" w:rsidR="00230A7D" w:rsidRPr="00230A7D" w:rsidRDefault="00230A7D" w:rsidP="00230A7D">
      <w:pPr>
        <w:rPr>
          <w:rFonts w:ascii="Times New Roman" w:hAnsi="Times New Roman" w:cs="Times New Roman"/>
          <w:sz w:val="20"/>
          <w:szCs w:val="20"/>
          <w:lang w:val="en-US"/>
        </w:rPr>
      </w:pPr>
      <w:r w:rsidRPr="00230A7D">
        <w:rPr>
          <w:rFonts w:ascii="Times New Roman" w:hAnsi="Times New Roman" w:cs="Times New Roman"/>
          <w:sz w:val="20"/>
          <w:szCs w:val="20"/>
          <w:lang w:val="en-US"/>
        </w:rPr>
        <w:t xml:space="preserve">Objective: To systematically evaluate and compare the effects of dietary supplements on </w:t>
      </w:r>
      <w:proofErr w:type="spellStart"/>
      <w:r w:rsidRPr="00230A7D">
        <w:rPr>
          <w:rFonts w:ascii="Times New Roman" w:hAnsi="Times New Roman" w:cs="Times New Roman"/>
          <w:sz w:val="20"/>
          <w:szCs w:val="20"/>
          <w:lang w:val="en-US"/>
        </w:rPr>
        <w:t>hsCRP</w:t>
      </w:r>
      <w:proofErr w:type="spellEnd"/>
      <w:r w:rsidRPr="00230A7D">
        <w:rPr>
          <w:rFonts w:ascii="Times New Roman" w:hAnsi="Times New Roman" w:cs="Times New Roman"/>
          <w:sz w:val="20"/>
          <w:szCs w:val="20"/>
          <w:lang w:val="en-US"/>
        </w:rPr>
        <w:t>, CRP, and pro-inflammatory cytokines including interleukin-6 (IL-6) and tumor necrosis factor-alpha (TNF-α) in healthy adults using a network meta-analysis.</w:t>
      </w:r>
    </w:p>
    <w:p w14:paraId="76F3CE1C" w14:textId="77777777" w:rsidR="00230A7D" w:rsidRPr="00230A7D" w:rsidRDefault="00230A7D" w:rsidP="00230A7D">
      <w:pPr>
        <w:rPr>
          <w:rFonts w:ascii="Times New Roman" w:hAnsi="Times New Roman" w:cs="Times New Roman"/>
          <w:sz w:val="20"/>
          <w:szCs w:val="20"/>
          <w:lang w:val="en-US"/>
        </w:rPr>
      </w:pPr>
      <w:r w:rsidRPr="00230A7D">
        <w:rPr>
          <w:rFonts w:ascii="Times New Roman" w:hAnsi="Times New Roman" w:cs="Times New Roman"/>
          <w:sz w:val="20"/>
          <w:szCs w:val="20"/>
          <w:lang w:val="en-US"/>
        </w:rPr>
        <w:t xml:space="preserve">Methods: Randomized controlled trials (RCTs) of at least 8-week intervention duration were identified through PubMed, Embase, the Cochrane Library, and CINAHL. Eligible articles are those assessed dietary supplements versus placebo or other supplements in healthy adults. Primary outcomes were </w:t>
      </w:r>
      <w:proofErr w:type="spellStart"/>
      <w:r w:rsidRPr="00230A7D">
        <w:rPr>
          <w:rFonts w:ascii="Times New Roman" w:hAnsi="Times New Roman" w:cs="Times New Roman"/>
          <w:sz w:val="20"/>
          <w:szCs w:val="20"/>
          <w:lang w:val="en-US"/>
        </w:rPr>
        <w:t>hsCRP</w:t>
      </w:r>
      <w:proofErr w:type="spellEnd"/>
      <w:r w:rsidRPr="00230A7D">
        <w:rPr>
          <w:rFonts w:ascii="Times New Roman" w:hAnsi="Times New Roman" w:cs="Times New Roman"/>
          <w:sz w:val="20"/>
          <w:szCs w:val="20"/>
          <w:lang w:val="en-US"/>
        </w:rPr>
        <w:t xml:space="preserve"> and CRP; secondary outcomes included IL-</w:t>
      </w:r>
      <w:proofErr w:type="gramStart"/>
      <w:r w:rsidRPr="00230A7D">
        <w:rPr>
          <w:rFonts w:ascii="Times New Roman" w:hAnsi="Times New Roman" w:cs="Times New Roman"/>
          <w:sz w:val="20"/>
          <w:szCs w:val="20"/>
          <w:lang w:val="en-US"/>
        </w:rPr>
        <w:t>6</w:t>
      </w:r>
      <w:proofErr w:type="gramEnd"/>
      <w:r w:rsidRPr="00230A7D">
        <w:rPr>
          <w:rFonts w:ascii="Times New Roman" w:hAnsi="Times New Roman" w:cs="Times New Roman"/>
          <w:sz w:val="20"/>
          <w:szCs w:val="20"/>
          <w:lang w:val="en-US"/>
        </w:rPr>
        <w:t xml:space="preserve"> and TNF-α. Data were pooled using Bayesian random-effects network meta-analysis, with results expressed as weighted mean differences (WMDs) with 95% credible interval (</w:t>
      </w:r>
      <w:proofErr w:type="spellStart"/>
      <w:r w:rsidRPr="00230A7D">
        <w:rPr>
          <w:rFonts w:ascii="Times New Roman" w:hAnsi="Times New Roman" w:cs="Times New Roman"/>
          <w:sz w:val="20"/>
          <w:szCs w:val="20"/>
          <w:lang w:val="en-US"/>
        </w:rPr>
        <w:t>CrIs</w:t>
      </w:r>
      <w:proofErr w:type="spellEnd"/>
      <w:r w:rsidRPr="00230A7D">
        <w:rPr>
          <w:rFonts w:ascii="Times New Roman" w:hAnsi="Times New Roman" w:cs="Times New Roman"/>
          <w:sz w:val="20"/>
          <w:szCs w:val="20"/>
          <w:lang w:val="en-US"/>
        </w:rPr>
        <w:t>) and ranked using surface under the cumulative ranking (SUCRA).</w:t>
      </w:r>
    </w:p>
    <w:p w14:paraId="023701C9" w14:textId="77777777" w:rsidR="00230A7D" w:rsidRPr="00230A7D" w:rsidRDefault="00230A7D" w:rsidP="00230A7D">
      <w:pPr>
        <w:rPr>
          <w:rFonts w:ascii="Times New Roman" w:hAnsi="Times New Roman" w:cs="Times New Roman"/>
          <w:sz w:val="20"/>
          <w:szCs w:val="20"/>
          <w:lang w:val="en-US"/>
        </w:rPr>
      </w:pPr>
      <w:r w:rsidRPr="00230A7D">
        <w:rPr>
          <w:rFonts w:ascii="Times New Roman" w:hAnsi="Times New Roman" w:cs="Times New Roman"/>
          <w:sz w:val="20"/>
          <w:szCs w:val="20"/>
          <w:lang w:val="en-US"/>
        </w:rPr>
        <w:t xml:space="preserve">Results: Forty-seven RCTs were included, of which 38 contributed to the network meta-analysis. Fermented ginseng powder and hydrolyzed chicken extract significantly reduced </w:t>
      </w:r>
      <w:proofErr w:type="spellStart"/>
      <w:r w:rsidRPr="00230A7D">
        <w:rPr>
          <w:rFonts w:ascii="Times New Roman" w:hAnsi="Times New Roman" w:cs="Times New Roman"/>
          <w:sz w:val="20"/>
          <w:szCs w:val="20"/>
          <w:lang w:val="en-US"/>
        </w:rPr>
        <w:t>hsCRP</w:t>
      </w:r>
      <w:proofErr w:type="spellEnd"/>
      <w:r w:rsidRPr="00230A7D">
        <w:rPr>
          <w:rFonts w:ascii="Times New Roman" w:hAnsi="Times New Roman" w:cs="Times New Roman"/>
          <w:sz w:val="20"/>
          <w:szCs w:val="20"/>
          <w:lang w:val="en-US"/>
        </w:rPr>
        <w:t xml:space="preserve"> compared with placebo (WMD: –2.46 mg/L, 95% </w:t>
      </w:r>
      <w:proofErr w:type="spellStart"/>
      <w:r w:rsidRPr="00230A7D">
        <w:rPr>
          <w:rFonts w:ascii="Times New Roman" w:hAnsi="Times New Roman" w:cs="Times New Roman"/>
          <w:sz w:val="20"/>
          <w:szCs w:val="20"/>
          <w:lang w:val="en-US"/>
        </w:rPr>
        <w:t>CrI</w:t>
      </w:r>
      <w:proofErr w:type="spellEnd"/>
      <w:r w:rsidRPr="00230A7D">
        <w:rPr>
          <w:rFonts w:ascii="Times New Roman" w:hAnsi="Times New Roman" w:cs="Times New Roman"/>
          <w:sz w:val="20"/>
          <w:szCs w:val="20"/>
          <w:lang w:val="en-US"/>
        </w:rPr>
        <w:t xml:space="preserve"> –4.77 to –0.11; WMD: –1.20 mg/L, 95% </w:t>
      </w:r>
      <w:proofErr w:type="spellStart"/>
      <w:r w:rsidRPr="00230A7D">
        <w:rPr>
          <w:rFonts w:ascii="Times New Roman" w:hAnsi="Times New Roman" w:cs="Times New Roman"/>
          <w:sz w:val="20"/>
          <w:szCs w:val="20"/>
          <w:lang w:val="en-US"/>
        </w:rPr>
        <w:t>CrI</w:t>
      </w:r>
      <w:proofErr w:type="spellEnd"/>
      <w:r w:rsidRPr="00230A7D">
        <w:rPr>
          <w:rFonts w:ascii="Times New Roman" w:hAnsi="Times New Roman" w:cs="Times New Roman"/>
          <w:sz w:val="20"/>
          <w:szCs w:val="20"/>
          <w:lang w:val="en-US"/>
        </w:rPr>
        <w:t xml:space="preserve"> –2.15 to –0.25). Both ingredients ranked highest in efficacy in lowering </w:t>
      </w:r>
      <w:proofErr w:type="spellStart"/>
      <w:r w:rsidRPr="00230A7D">
        <w:rPr>
          <w:rFonts w:ascii="Times New Roman" w:hAnsi="Times New Roman" w:cs="Times New Roman"/>
          <w:sz w:val="20"/>
          <w:szCs w:val="20"/>
          <w:lang w:val="en-US"/>
        </w:rPr>
        <w:t>hsCRP</w:t>
      </w:r>
      <w:proofErr w:type="spellEnd"/>
      <w:r w:rsidRPr="00230A7D">
        <w:rPr>
          <w:rFonts w:ascii="Times New Roman" w:hAnsi="Times New Roman" w:cs="Times New Roman"/>
          <w:sz w:val="20"/>
          <w:szCs w:val="20"/>
          <w:lang w:val="en-US"/>
        </w:rPr>
        <w:t xml:space="preserve"> among the interventions evaluated (SUCRA: 96.0% and 91.1%, respectively). For CRP, citrus polyphenols ranked highest (SUCRA: 97.1%), showing significant reductions (WMD: –2.46 mg/L, 95% </w:t>
      </w:r>
      <w:proofErr w:type="spellStart"/>
      <w:r w:rsidRPr="00230A7D">
        <w:rPr>
          <w:rFonts w:ascii="Times New Roman" w:hAnsi="Times New Roman" w:cs="Times New Roman"/>
          <w:sz w:val="20"/>
          <w:szCs w:val="20"/>
          <w:lang w:val="en-US"/>
        </w:rPr>
        <w:t>CrI</w:t>
      </w:r>
      <w:proofErr w:type="spellEnd"/>
      <w:r w:rsidRPr="00230A7D">
        <w:rPr>
          <w:rFonts w:ascii="Times New Roman" w:hAnsi="Times New Roman" w:cs="Times New Roman"/>
          <w:sz w:val="20"/>
          <w:szCs w:val="20"/>
          <w:lang w:val="en-US"/>
        </w:rPr>
        <w:t xml:space="preserve"> –4.41 to –0.50). At a category level, prebiotics, probiotics, postbiotics, and </w:t>
      </w:r>
      <w:proofErr w:type="spellStart"/>
      <w:r w:rsidRPr="00230A7D">
        <w:rPr>
          <w:rFonts w:ascii="Times New Roman" w:hAnsi="Times New Roman" w:cs="Times New Roman"/>
          <w:sz w:val="20"/>
          <w:szCs w:val="20"/>
          <w:lang w:val="en-US"/>
        </w:rPr>
        <w:t>synbiotics</w:t>
      </w:r>
      <w:proofErr w:type="spellEnd"/>
      <w:r w:rsidRPr="00230A7D">
        <w:rPr>
          <w:rFonts w:ascii="Times New Roman" w:hAnsi="Times New Roman" w:cs="Times New Roman"/>
          <w:sz w:val="20"/>
          <w:szCs w:val="20"/>
          <w:lang w:val="en-US"/>
        </w:rPr>
        <w:t xml:space="preserve"> ranked highest for TNF-α, while antioxidant combinations ranked highest for IL-6.</w:t>
      </w:r>
    </w:p>
    <w:p w14:paraId="7687299F" w14:textId="134C2801" w:rsidR="007679DD" w:rsidRPr="00230A7D" w:rsidRDefault="00230A7D" w:rsidP="00230A7D">
      <w:pPr>
        <w:rPr>
          <w:rFonts w:ascii="Times New Roman" w:hAnsi="Times New Roman" w:cs="Times New Roman"/>
          <w:sz w:val="20"/>
          <w:szCs w:val="20"/>
          <w:lang w:eastAsia="zh-CN"/>
        </w:rPr>
      </w:pPr>
      <w:r w:rsidRPr="00230A7D">
        <w:rPr>
          <w:rFonts w:ascii="Times New Roman" w:hAnsi="Times New Roman" w:cs="Times New Roman"/>
          <w:sz w:val="20"/>
          <w:szCs w:val="20"/>
          <w:lang w:val="en-US"/>
        </w:rPr>
        <w:t xml:space="preserve">Conclusion: Among the dietary supplements evaluated, fermented ginseng powder and hydrolyzed chicken extract were the most effective in lowering </w:t>
      </w:r>
      <w:proofErr w:type="spellStart"/>
      <w:r w:rsidRPr="00230A7D">
        <w:rPr>
          <w:rFonts w:ascii="Times New Roman" w:hAnsi="Times New Roman" w:cs="Times New Roman"/>
          <w:sz w:val="20"/>
          <w:szCs w:val="20"/>
          <w:lang w:val="en-US"/>
        </w:rPr>
        <w:t>hsCRP</w:t>
      </w:r>
      <w:proofErr w:type="spellEnd"/>
      <w:r w:rsidRPr="00230A7D">
        <w:rPr>
          <w:rFonts w:ascii="Times New Roman" w:hAnsi="Times New Roman" w:cs="Times New Roman"/>
          <w:sz w:val="20"/>
          <w:szCs w:val="20"/>
          <w:lang w:val="en-US"/>
        </w:rPr>
        <w:t xml:space="preserve"> in healthy adults.  </w:t>
      </w:r>
    </w:p>
    <w:p w14:paraId="0AE07FD0" w14:textId="77777777" w:rsidR="002A0A1C" w:rsidRPr="00C67487" w:rsidRDefault="002A0A1C" w:rsidP="00A91865">
      <w:pPr>
        <w:pStyle w:val="Els-keywords"/>
        <w:pBdr>
          <w:bottom w:val="none" w:sz="0" w:space="0" w:color="auto"/>
        </w:pBdr>
        <w:spacing w:after="120" w:line="240" w:lineRule="auto"/>
        <w:rPr>
          <w:b/>
          <w:sz w:val="20"/>
        </w:rPr>
      </w:pPr>
      <w:r w:rsidRPr="00C67487">
        <w:rPr>
          <w:b/>
          <w:sz w:val="20"/>
        </w:rPr>
        <w:t>References</w:t>
      </w:r>
    </w:p>
    <w:p w14:paraId="3639F4CF" w14:textId="52B7DC76" w:rsidR="00230A7D" w:rsidRPr="00230A7D" w:rsidRDefault="00230A7D" w:rsidP="00230A7D">
      <w:pPr>
        <w:pStyle w:val="Bibliography"/>
        <w:rPr>
          <w:rFonts w:ascii="Times New Roman" w:hAnsi="Times New Roman" w:cs="Times New Roman"/>
          <w:sz w:val="20"/>
          <w:lang w:val="en-US"/>
        </w:rPr>
      </w:pPr>
      <w:r>
        <w:rPr>
          <w:rFonts w:hint="eastAsia"/>
          <w:sz w:val="20"/>
          <w:lang w:eastAsia="zh-CN"/>
        </w:rPr>
        <w:t>[</w:t>
      </w:r>
      <w:r>
        <w:rPr>
          <w:sz w:val="20"/>
          <w:lang w:eastAsia="zh-CN"/>
        </w:rPr>
        <w:fldChar w:fldCharType="begin"/>
      </w:r>
      <w:r>
        <w:rPr>
          <w:sz w:val="20"/>
          <w:lang w:eastAsia="zh-CN"/>
        </w:rPr>
        <w:instrText xml:space="preserve"> ADDIN ZOTERO_BIBL {"uncited":[],"omitted":[],"custom":[]} CSL_BIBLIOGRAPHY </w:instrText>
      </w:r>
      <w:r>
        <w:rPr>
          <w:sz w:val="20"/>
          <w:lang w:eastAsia="zh-CN"/>
        </w:rPr>
        <w:fldChar w:fldCharType="separate"/>
      </w:r>
      <w:r w:rsidRPr="00230A7D">
        <w:rPr>
          <w:rFonts w:ascii="Times New Roman" w:hAnsi="Times New Roman" w:cs="Times New Roman"/>
          <w:sz w:val="20"/>
          <w:lang w:val="en-US"/>
        </w:rPr>
        <w:t>1</w:t>
      </w:r>
      <w:r>
        <w:rPr>
          <w:rFonts w:ascii="Times New Roman" w:hAnsi="Times New Roman" w:cs="Times New Roman" w:hint="eastAsia"/>
          <w:sz w:val="20"/>
          <w:lang w:val="en-US" w:eastAsia="zh-CN"/>
        </w:rPr>
        <w:t>]</w:t>
      </w:r>
      <w:r w:rsidRPr="00230A7D">
        <w:rPr>
          <w:rFonts w:ascii="Times New Roman" w:hAnsi="Times New Roman" w:cs="Times New Roman"/>
          <w:sz w:val="20"/>
          <w:lang w:val="en-US"/>
        </w:rPr>
        <w:t xml:space="preserve">. </w:t>
      </w:r>
      <w:r w:rsidRPr="00230A7D">
        <w:rPr>
          <w:rFonts w:ascii="Times New Roman" w:hAnsi="Times New Roman" w:cs="Times New Roman"/>
          <w:sz w:val="20"/>
          <w:lang w:val="en-US"/>
        </w:rPr>
        <w:tab/>
        <w:t xml:space="preserve">Hansson, G.K. Inflammation, Atherosclerosis, and Coronary Artery Disease. </w:t>
      </w:r>
      <w:r w:rsidRPr="00230A7D">
        <w:rPr>
          <w:rFonts w:ascii="Times New Roman" w:hAnsi="Times New Roman" w:cs="Times New Roman"/>
          <w:i/>
          <w:iCs/>
          <w:sz w:val="20"/>
          <w:lang w:val="en-US"/>
        </w:rPr>
        <w:t>New England Journal of Medicine</w:t>
      </w:r>
      <w:r w:rsidRPr="00230A7D">
        <w:rPr>
          <w:rFonts w:ascii="Times New Roman" w:hAnsi="Times New Roman" w:cs="Times New Roman"/>
          <w:sz w:val="20"/>
          <w:lang w:val="en-US"/>
        </w:rPr>
        <w:t xml:space="preserve"> </w:t>
      </w:r>
      <w:r w:rsidRPr="00230A7D">
        <w:rPr>
          <w:rFonts w:ascii="Times New Roman" w:hAnsi="Times New Roman" w:cs="Times New Roman"/>
          <w:b/>
          <w:bCs/>
          <w:sz w:val="20"/>
          <w:lang w:val="en-US"/>
        </w:rPr>
        <w:t>2005</w:t>
      </w:r>
      <w:r w:rsidRPr="00230A7D">
        <w:rPr>
          <w:rFonts w:ascii="Times New Roman" w:hAnsi="Times New Roman" w:cs="Times New Roman"/>
          <w:sz w:val="20"/>
          <w:lang w:val="en-US"/>
        </w:rPr>
        <w:t xml:space="preserve">, </w:t>
      </w:r>
      <w:r w:rsidRPr="00230A7D">
        <w:rPr>
          <w:rFonts w:ascii="Times New Roman" w:hAnsi="Times New Roman" w:cs="Times New Roman"/>
          <w:i/>
          <w:iCs/>
          <w:sz w:val="20"/>
          <w:lang w:val="en-US"/>
        </w:rPr>
        <w:t>352</w:t>
      </w:r>
      <w:r w:rsidRPr="00230A7D">
        <w:rPr>
          <w:rFonts w:ascii="Times New Roman" w:hAnsi="Times New Roman" w:cs="Times New Roman"/>
          <w:sz w:val="20"/>
          <w:lang w:val="en-US"/>
        </w:rPr>
        <w:t>, 1685–1695, doi:10.1056/NEJMra043430.</w:t>
      </w:r>
    </w:p>
    <w:p w14:paraId="687182BD" w14:textId="52D222EE" w:rsidR="00230A7D" w:rsidRPr="00230A7D" w:rsidRDefault="00230A7D" w:rsidP="00230A7D">
      <w:pPr>
        <w:pStyle w:val="Bibliography"/>
        <w:rPr>
          <w:rFonts w:ascii="Times New Roman" w:hAnsi="Times New Roman" w:cs="Times New Roman"/>
          <w:sz w:val="20"/>
          <w:lang w:val="en-US"/>
        </w:rPr>
      </w:pPr>
      <w:r>
        <w:rPr>
          <w:rFonts w:ascii="Times New Roman" w:hAnsi="Times New Roman" w:cs="Times New Roman" w:hint="eastAsia"/>
          <w:sz w:val="20"/>
          <w:lang w:val="en-US" w:eastAsia="zh-CN"/>
        </w:rPr>
        <w:t>[</w:t>
      </w:r>
      <w:r w:rsidRPr="00230A7D">
        <w:rPr>
          <w:rFonts w:ascii="Times New Roman" w:hAnsi="Times New Roman" w:cs="Times New Roman"/>
          <w:sz w:val="20"/>
          <w:lang w:val="en-US"/>
        </w:rPr>
        <w:t>2</w:t>
      </w:r>
      <w:r>
        <w:rPr>
          <w:rFonts w:ascii="Times New Roman" w:hAnsi="Times New Roman" w:cs="Times New Roman" w:hint="eastAsia"/>
          <w:sz w:val="20"/>
          <w:lang w:val="en-US" w:eastAsia="zh-CN"/>
        </w:rPr>
        <w:t>]</w:t>
      </w:r>
      <w:r w:rsidRPr="00230A7D">
        <w:rPr>
          <w:rFonts w:ascii="Times New Roman" w:hAnsi="Times New Roman" w:cs="Times New Roman"/>
          <w:sz w:val="20"/>
          <w:lang w:val="en-US"/>
        </w:rPr>
        <w:t xml:space="preserve">. </w:t>
      </w:r>
      <w:r w:rsidRPr="00230A7D">
        <w:rPr>
          <w:rFonts w:ascii="Times New Roman" w:hAnsi="Times New Roman" w:cs="Times New Roman"/>
          <w:sz w:val="20"/>
          <w:lang w:val="en-US"/>
        </w:rPr>
        <w:tab/>
        <w:t xml:space="preserve">Robinson, W.H.; Lepus, C.M.; Wang, Q.; Raghu, H.; Mao, R.; Lindstrom, T.M.; Sokolove, J. Low-Grade Inflammation as a Key Mediator of the Pathogenesis of Osteoarthritis. </w:t>
      </w:r>
      <w:r w:rsidRPr="00230A7D">
        <w:rPr>
          <w:rFonts w:ascii="Times New Roman" w:hAnsi="Times New Roman" w:cs="Times New Roman"/>
          <w:i/>
          <w:iCs/>
          <w:sz w:val="20"/>
          <w:lang w:val="en-US"/>
        </w:rPr>
        <w:t>Nat Rev Rheumatol</w:t>
      </w:r>
      <w:r w:rsidRPr="00230A7D">
        <w:rPr>
          <w:rFonts w:ascii="Times New Roman" w:hAnsi="Times New Roman" w:cs="Times New Roman"/>
          <w:sz w:val="20"/>
          <w:lang w:val="en-US"/>
        </w:rPr>
        <w:t xml:space="preserve"> </w:t>
      </w:r>
      <w:r w:rsidRPr="00230A7D">
        <w:rPr>
          <w:rFonts w:ascii="Times New Roman" w:hAnsi="Times New Roman" w:cs="Times New Roman"/>
          <w:b/>
          <w:bCs/>
          <w:sz w:val="20"/>
          <w:lang w:val="en-US"/>
        </w:rPr>
        <w:t>2016</w:t>
      </w:r>
      <w:r w:rsidRPr="00230A7D">
        <w:rPr>
          <w:rFonts w:ascii="Times New Roman" w:hAnsi="Times New Roman" w:cs="Times New Roman"/>
          <w:sz w:val="20"/>
          <w:lang w:val="en-US"/>
        </w:rPr>
        <w:t xml:space="preserve">, </w:t>
      </w:r>
      <w:r w:rsidRPr="00230A7D">
        <w:rPr>
          <w:rFonts w:ascii="Times New Roman" w:hAnsi="Times New Roman" w:cs="Times New Roman"/>
          <w:i/>
          <w:iCs/>
          <w:sz w:val="20"/>
          <w:lang w:val="en-US"/>
        </w:rPr>
        <w:t>12</w:t>
      </w:r>
      <w:r w:rsidRPr="00230A7D">
        <w:rPr>
          <w:rFonts w:ascii="Times New Roman" w:hAnsi="Times New Roman" w:cs="Times New Roman"/>
          <w:sz w:val="20"/>
          <w:lang w:val="en-US"/>
        </w:rPr>
        <w:t>, 580–592, doi:10.1038/nrrheum.2016.136.</w:t>
      </w:r>
    </w:p>
    <w:p w14:paraId="65B168D2" w14:textId="3B049801" w:rsidR="00230A7D" w:rsidRPr="00230A7D" w:rsidRDefault="00230A7D" w:rsidP="00230A7D">
      <w:pPr>
        <w:pStyle w:val="Bibliography"/>
        <w:rPr>
          <w:rFonts w:ascii="Times New Roman" w:hAnsi="Times New Roman" w:cs="Times New Roman"/>
          <w:sz w:val="20"/>
          <w:lang w:val="en-US"/>
        </w:rPr>
      </w:pPr>
      <w:r>
        <w:rPr>
          <w:rFonts w:ascii="Times New Roman" w:hAnsi="Times New Roman" w:cs="Times New Roman" w:hint="eastAsia"/>
          <w:sz w:val="20"/>
          <w:lang w:val="en-US" w:eastAsia="zh-CN"/>
        </w:rPr>
        <w:t>[</w:t>
      </w:r>
      <w:r w:rsidRPr="00230A7D">
        <w:rPr>
          <w:rFonts w:ascii="Times New Roman" w:hAnsi="Times New Roman" w:cs="Times New Roman"/>
          <w:sz w:val="20"/>
          <w:lang w:val="en-US"/>
        </w:rPr>
        <w:t>3</w:t>
      </w:r>
      <w:r>
        <w:rPr>
          <w:rFonts w:ascii="Times New Roman" w:hAnsi="Times New Roman" w:cs="Times New Roman" w:hint="eastAsia"/>
          <w:sz w:val="20"/>
          <w:lang w:val="en-US" w:eastAsia="zh-CN"/>
        </w:rPr>
        <w:t>]</w:t>
      </w:r>
      <w:r w:rsidRPr="00230A7D">
        <w:rPr>
          <w:rFonts w:ascii="Times New Roman" w:hAnsi="Times New Roman" w:cs="Times New Roman"/>
          <w:sz w:val="20"/>
          <w:lang w:val="en-US"/>
        </w:rPr>
        <w:t xml:space="preserve">. </w:t>
      </w:r>
      <w:r w:rsidRPr="00230A7D">
        <w:rPr>
          <w:rFonts w:ascii="Times New Roman" w:hAnsi="Times New Roman" w:cs="Times New Roman"/>
          <w:sz w:val="20"/>
          <w:lang w:val="en-US"/>
        </w:rPr>
        <w:tab/>
        <w:t xml:space="preserve">Ridker, P.M. Clinical Application of C-Reactive Protein for Cardiovascular Disease Detection and Prevention. </w:t>
      </w:r>
      <w:r w:rsidRPr="00230A7D">
        <w:rPr>
          <w:rFonts w:ascii="Times New Roman" w:hAnsi="Times New Roman" w:cs="Times New Roman"/>
          <w:i/>
          <w:iCs/>
          <w:sz w:val="20"/>
          <w:lang w:val="en-US"/>
        </w:rPr>
        <w:t>Circulation</w:t>
      </w:r>
      <w:r w:rsidRPr="00230A7D">
        <w:rPr>
          <w:rFonts w:ascii="Times New Roman" w:hAnsi="Times New Roman" w:cs="Times New Roman"/>
          <w:sz w:val="20"/>
          <w:lang w:val="en-US"/>
        </w:rPr>
        <w:t xml:space="preserve"> </w:t>
      </w:r>
      <w:r w:rsidRPr="00230A7D">
        <w:rPr>
          <w:rFonts w:ascii="Times New Roman" w:hAnsi="Times New Roman" w:cs="Times New Roman"/>
          <w:b/>
          <w:bCs/>
          <w:sz w:val="20"/>
          <w:lang w:val="en-US"/>
        </w:rPr>
        <w:t>2003</w:t>
      </w:r>
      <w:r w:rsidRPr="00230A7D">
        <w:rPr>
          <w:rFonts w:ascii="Times New Roman" w:hAnsi="Times New Roman" w:cs="Times New Roman"/>
          <w:sz w:val="20"/>
          <w:lang w:val="en-US"/>
        </w:rPr>
        <w:t xml:space="preserve">, </w:t>
      </w:r>
      <w:r w:rsidRPr="00230A7D">
        <w:rPr>
          <w:rFonts w:ascii="Times New Roman" w:hAnsi="Times New Roman" w:cs="Times New Roman"/>
          <w:i/>
          <w:iCs/>
          <w:sz w:val="20"/>
          <w:lang w:val="en-US"/>
        </w:rPr>
        <w:t>107</w:t>
      </w:r>
      <w:r w:rsidRPr="00230A7D">
        <w:rPr>
          <w:rFonts w:ascii="Times New Roman" w:hAnsi="Times New Roman" w:cs="Times New Roman"/>
          <w:sz w:val="20"/>
          <w:lang w:val="en-US"/>
        </w:rPr>
        <w:t>, 363–369, doi:10.1161/01.CIR.0000053730.47739.3C.</w:t>
      </w:r>
    </w:p>
    <w:p w14:paraId="7BC67066" w14:textId="0359C2EA" w:rsidR="003B0ABD" w:rsidRPr="002537DA" w:rsidRDefault="00230A7D" w:rsidP="0078067E">
      <w:pPr>
        <w:pStyle w:val="Els-keywords"/>
        <w:spacing w:after="120" w:line="240" w:lineRule="auto"/>
        <w:rPr>
          <w:sz w:val="20"/>
          <w:lang w:eastAsia="zh-CN"/>
        </w:rPr>
      </w:pPr>
      <w:r>
        <w:rPr>
          <w:sz w:val="20"/>
          <w:lang w:eastAsia="zh-CN"/>
        </w:rPr>
        <w:fldChar w:fldCharType="end"/>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A384C" w14:textId="77777777" w:rsidR="006018C9" w:rsidRDefault="006018C9" w:rsidP="00431340">
      <w:pPr>
        <w:spacing w:after="0" w:line="240" w:lineRule="auto"/>
      </w:pPr>
      <w:r>
        <w:separator/>
      </w:r>
    </w:p>
  </w:endnote>
  <w:endnote w:type="continuationSeparator" w:id="0">
    <w:p w14:paraId="1E0E8BAE" w14:textId="77777777" w:rsidR="006018C9" w:rsidRDefault="006018C9"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0D9A1" w14:textId="77777777" w:rsidR="006018C9" w:rsidRDefault="006018C9" w:rsidP="00431340">
      <w:pPr>
        <w:spacing w:after="0" w:line="240" w:lineRule="auto"/>
      </w:pPr>
      <w:r>
        <w:separator/>
      </w:r>
    </w:p>
  </w:footnote>
  <w:footnote w:type="continuationSeparator" w:id="0">
    <w:p w14:paraId="239DCCCB" w14:textId="77777777" w:rsidR="006018C9" w:rsidRDefault="006018C9"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92DB6"/>
    <w:rsid w:val="001C51B3"/>
    <w:rsid w:val="00230A7D"/>
    <w:rsid w:val="00234209"/>
    <w:rsid w:val="002537DA"/>
    <w:rsid w:val="002A0A1C"/>
    <w:rsid w:val="002A2B3C"/>
    <w:rsid w:val="00372579"/>
    <w:rsid w:val="003B0ABD"/>
    <w:rsid w:val="00431340"/>
    <w:rsid w:val="004B7E87"/>
    <w:rsid w:val="004C7508"/>
    <w:rsid w:val="004D1125"/>
    <w:rsid w:val="0059506C"/>
    <w:rsid w:val="005B77D8"/>
    <w:rsid w:val="006018C9"/>
    <w:rsid w:val="00632937"/>
    <w:rsid w:val="00646E7D"/>
    <w:rsid w:val="00654033"/>
    <w:rsid w:val="00665C88"/>
    <w:rsid w:val="00673656"/>
    <w:rsid w:val="006D3652"/>
    <w:rsid w:val="0070599D"/>
    <w:rsid w:val="007679DD"/>
    <w:rsid w:val="00772B06"/>
    <w:rsid w:val="007752C7"/>
    <w:rsid w:val="0078067E"/>
    <w:rsid w:val="00781D43"/>
    <w:rsid w:val="00827794"/>
    <w:rsid w:val="00932069"/>
    <w:rsid w:val="009C71BA"/>
    <w:rsid w:val="00A91865"/>
    <w:rsid w:val="00BE265A"/>
    <w:rsid w:val="00BF77A7"/>
    <w:rsid w:val="00C17F75"/>
    <w:rsid w:val="00C4616B"/>
    <w:rsid w:val="00C67487"/>
    <w:rsid w:val="00CC179B"/>
    <w:rsid w:val="00D10E69"/>
    <w:rsid w:val="00D753D4"/>
    <w:rsid w:val="00DD4FF9"/>
    <w:rsid w:val="00EE29D4"/>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paragraph" w:styleId="Bibliography">
    <w:name w:val="Bibliography"/>
    <w:basedOn w:val="Normal"/>
    <w:next w:val="Normal"/>
    <w:uiPriority w:val="37"/>
    <w:unhideWhenUsed/>
    <w:rsid w:val="00230A7D"/>
    <w:pPr>
      <w:tabs>
        <w:tab w:val="left" w:pos="380"/>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1138</Words>
  <Characters>6487</Characters>
  <Application>Microsoft Office Word</Application>
  <DocSecurity>0</DocSecurity>
  <Lines>54</Lines>
  <Paragraphs>15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Wendy Hu</cp:lastModifiedBy>
  <cp:revision>3</cp:revision>
  <dcterms:created xsi:type="dcterms:W3CDTF">2026-04-08T00:57:00Z</dcterms:created>
  <dcterms:modified xsi:type="dcterms:W3CDTF">2026-04-08T01:35:00Z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ZOTERO_PREF_1">
    <vt:lpwstr>&lt;data data-version="3" zotero-version="7.0.32"&gt;&lt;session id="gAoiVwlx"/&gt;&lt;style id="http://www.zotero.org/styles/antioxidants" hasBibliography="1" bibliographyStyleHasBeenSet="1"/&gt;&lt;prefs&gt;&lt;pref name="fieldType" value="Field"/&gt;&lt;/prefs&gt;&lt;/data&gt;</vt:lpwstr>
  </property>
</Properties>
</file>