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32472" w14:textId="77777777" w:rsidR="003C2E1D" w:rsidRDefault="00000000">
      <w:pPr>
        <w:pStyle w:val="DocHead"/>
        <w:spacing w:before="0" w:after="0"/>
        <w:ind w:left="-119" w:right="-136" w:firstLine="119"/>
      </w:pPr>
      <w:r>
        <w:t>SIFF 2026</w:t>
      </w:r>
    </w:p>
    <w:p w14:paraId="112A3169" w14:textId="77777777" w:rsidR="003C2E1D" w:rsidRDefault="00000000">
      <w:pPr>
        <w:pStyle w:val="DocHead"/>
        <w:spacing w:before="0" w:after="0"/>
        <w:ind w:left="-119" w:right="-136" w:firstLine="119"/>
      </w:pPr>
      <w:r>
        <w:t>Singapore International Food Forum 2026</w:t>
      </w:r>
      <w:r>
        <w:br/>
      </w:r>
    </w:p>
    <w:p w14:paraId="29C830AA" w14:textId="77777777" w:rsidR="00DC6D20" w:rsidRDefault="00DC6D20">
      <w:pPr>
        <w:widowControl w:val="0"/>
        <w:spacing w:line="360" w:lineRule="auto"/>
        <w:jc w:val="center"/>
        <w:rPr>
          <w:rFonts w:ascii="Times New Roman" w:eastAsia="宋体" w:hAnsi="Times New Roman" w:cs="Times New Roman"/>
          <w:sz w:val="32"/>
          <w:szCs w:val="32"/>
          <w:lang w:val="en-US"/>
        </w:rPr>
      </w:pPr>
      <w:r w:rsidRPr="00DC6D20">
        <w:rPr>
          <w:rFonts w:ascii="Times New Roman" w:eastAsia="宋体" w:hAnsi="Times New Roman" w:cs="Times New Roman"/>
          <w:sz w:val="32"/>
          <w:szCs w:val="32"/>
          <w:lang w:val="en-US"/>
        </w:rPr>
        <w:t>Microbial Fermentation of Dried Noni Fruit Slurry: Improving Aroma While Preserving Bioactive Compounds</w:t>
      </w:r>
    </w:p>
    <w:p w14:paraId="6028C46D" w14:textId="5EDB9AA2" w:rsidR="003C2E1D" w:rsidRDefault="00000000">
      <w:pPr>
        <w:widowControl w:val="0"/>
        <w:spacing w:line="360" w:lineRule="auto"/>
        <w:jc w:val="center"/>
        <w:rPr>
          <w:sz w:val="24"/>
          <w:szCs w:val="24"/>
        </w:rPr>
      </w:pPr>
      <w:r>
        <w:rPr>
          <w:rFonts w:ascii="Times New Roman" w:eastAsia="宋体" w:hAnsi="Times New Roman" w:cs="Times New Roman"/>
          <w:kern w:val="2"/>
          <w:sz w:val="24"/>
          <w:szCs w:val="24"/>
          <w:lang w:val="en-US" w:eastAsia="zh-CN" w:bidi="ar"/>
        </w:rPr>
        <w:t xml:space="preserve">Zhuoran Zhang </w:t>
      </w:r>
      <w:r>
        <w:rPr>
          <w:rFonts w:ascii="Times New Roman" w:eastAsia="宋体" w:hAnsi="Times New Roman" w:cs="Times New Roman"/>
          <w:kern w:val="2"/>
          <w:sz w:val="24"/>
          <w:szCs w:val="24"/>
          <w:vertAlign w:val="superscript"/>
          <w:lang w:val="en-US" w:eastAsia="zh-CN" w:bidi="ar"/>
        </w:rPr>
        <w:t>a</w:t>
      </w:r>
      <w:r>
        <w:rPr>
          <w:rFonts w:ascii="Times New Roman" w:eastAsia="宋体" w:hAnsi="Times New Roman" w:cs="Times New Roman"/>
          <w:kern w:val="2"/>
          <w:sz w:val="24"/>
          <w:szCs w:val="24"/>
          <w:lang w:val="en-US" w:eastAsia="zh-CN" w:bidi="ar"/>
        </w:rPr>
        <w:t xml:space="preserve">, Shao Quan Liu </w:t>
      </w:r>
      <w:proofErr w:type="spellStart"/>
      <w:r>
        <w:rPr>
          <w:rFonts w:ascii="Times New Roman" w:eastAsia="宋体" w:hAnsi="Times New Roman" w:cs="Times New Roman"/>
          <w:kern w:val="2"/>
          <w:sz w:val="24"/>
          <w:szCs w:val="24"/>
          <w:vertAlign w:val="superscript"/>
          <w:lang w:val="en-US" w:eastAsia="zh-CN" w:bidi="ar"/>
        </w:rPr>
        <w:t>a,b</w:t>
      </w:r>
      <w:proofErr w:type="spellEnd"/>
      <w:r>
        <w:rPr>
          <w:rFonts w:ascii="Times New Roman" w:eastAsia="宋体" w:hAnsi="Times New Roman" w:cs="Times New Roman"/>
          <w:kern w:val="2"/>
          <w:sz w:val="24"/>
          <w:szCs w:val="24"/>
          <w:vertAlign w:val="superscript"/>
          <w:lang w:val="en-US" w:eastAsia="zh-CN" w:bidi="ar"/>
        </w:rPr>
        <w:t>,*</w:t>
      </w:r>
      <w:r>
        <w:rPr>
          <w:rFonts w:ascii="Times New Roman" w:eastAsia="宋体" w:hAnsi="Times New Roman" w:cs="Times New Roman"/>
          <w:kern w:val="2"/>
          <w:sz w:val="24"/>
          <w:szCs w:val="24"/>
          <w:lang w:val="en-US" w:eastAsia="zh-CN" w:bidi="ar"/>
        </w:rPr>
        <w:t xml:space="preserve">, </w:t>
      </w:r>
      <w:proofErr w:type="spellStart"/>
      <w:r>
        <w:rPr>
          <w:rFonts w:ascii="Times New Roman" w:eastAsia="宋体" w:hAnsi="Times New Roman" w:cs="Times New Roman"/>
          <w:kern w:val="2"/>
          <w:sz w:val="24"/>
          <w:szCs w:val="24"/>
          <w:lang w:val="en-US" w:eastAsia="zh-CN" w:bidi="ar"/>
        </w:rPr>
        <w:t>Yuyun</w:t>
      </w:r>
      <w:proofErr w:type="spellEnd"/>
      <w:r>
        <w:rPr>
          <w:rFonts w:ascii="Times New Roman" w:eastAsia="宋体" w:hAnsi="Times New Roman" w:cs="Times New Roman"/>
          <w:kern w:val="2"/>
          <w:sz w:val="24"/>
          <w:szCs w:val="24"/>
          <w:lang w:val="en-US" w:eastAsia="zh-CN" w:bidi="ar"/>
        </w:rPr>
        <w:t xml:space="preserve"> Lu </w:t>
      </w:r>
      <w:r>
        <w:rPr>
          <w:rFonts w:ascii="Times New Roman" w:eastAsia="宋体" w:hAnsi="Times New Roman" w:cs="Times New Roman"/>
          <w:kern w:val="2"/>
          <w:sz w:val="24"/>
          <w:szCs w:val="24"/>
          <w:vertAlign w:val="superscript"/>
          <w:lang w:val="en-US" w:eastAsia="zh-CN" w:bidi="ar"/>
        </w:rPr>
        <w:t>a,*</w:t>
      </w:r>
    </w:p>
    <w:p w14:paraId="17047AAB" w14:textId="77777777" w:rsidR="003C2E1D" w:rsidRDefault="003C2E1D">
      <w:pPr>
        <w:pStyle w:val="Els-Author"/>
        <w:ind w:right="2"/>
        <w:rPr>
          <w:sz w:val="28"/>
          <w:szCs w:val="28"/>
        </w:rPr>
        <w:sectPr w:rsidR="003C2E1D">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0F8489EC" w14:textId="74EB59F5" w:rsidR="003C2E1D" w:rsidRDefault="00000000">
      <w:pPr>
        <w:pStyle w:val="Els-Affiliation"/>
        <w:rPr>
          <w:lang w:val="nb-NO"/>
        </w:rPr>
      </w:pPr>
      <w:r>
        <w:rPr>
          <w:lang w:val="nb-NO"/>
        </w:rPr>
        <w:t>a Department of Food Science &amp; Technology, National University of Singapore,</w:t>
      </w:r>
      <w:r w:rsidR="001C4C19">
        <w:rPr>
          <w:rFonts w:hint="eastAsia"/>
          <w:lang w:val="nb-NO" w:eastAsia="zh-CN"/>
        </w:rPr>
        <w:t xml:space="preserve"> </w:t>
      </w:r>
      <w:r>
        <w:rPr>
          <w:lang w:val="nb-NO"/>
        </w:rPr>
        <w:t>Science Drive 2, Singapore 117542, Singapore</w:t>
      </w:r>
    </w:p>
    <w:p w14:paraId="6AABCBA5" w14:textId="77777777" w:rsidR="003C2E1D" w:rsidRDefault="00000000">
      <w:pPr>
        <w:pStyle w:val="Els-Affiliation"/>
        <w:rPr>
          <w:lang w:val="nb-NO"/>
        </w:rPr>
      </w:pPr>
      <w:r>
        <w:rPr>
          <w:lang w:val="nb-NO"/>
        </w:rPr>
        <w:t>b National University of Singapore (Suzhou) Research Institute, 377 Lin Quan Street, Suzhou Industrial Park, Jiangsu 215123, China</w:t>
      </w:r>
    </w:p>
    <w:p w14:paraId="7A6AAA2E" w14:textId="77777777" w:rsidR="001C4C19" w:rsidRDefault="001C4C19" w:rsidP="001C4C19">
      <w:pPr>
        <w:spacing w:after="0" w:line="240" w:lineRule="auto"/>
        <w:rPr>
          <w:rFonts w:ascii="Times New Roman" w:eastAsiaTheme="minorEastAsia" w:hAnsi="Times New Roman" w:cs="Times New Roman"/>
          <w:sz w:val="16"/>
          <w:szCs w:val="16"/>
          <w:lang w:eastAsia="zh-CN"/>
        </w:rPr>
      </w:pPr>
    </w:p>
    <w:p w14:paraId="0014DA65" w14:textId="45160FD8" w:rsidR="001C4C19" w:rsidRPr="001C4C19" w:rsidRDefault="001C4C19" w:rsidP="001C4C19">
      <w:pPr>
        <w:spacing w:after="0" w:line="240" w:lineRule="auto"/>
        <w:rPr>
          <w:rFonts w:ascii="Times New Roman" w:eastAsiaTheme="minorEastAsia" w:hAnsi="Times New Roman" w:cs="Times New Roman"/>
          <w:sz w:val="16"/>
          <w:szCs w:val="16"/>
          <w:lang w:eastAsia="zh-CN"/>
        </w:rPr>
      </w:pPr>
      <w:r w:rsidRPr="001C4C19">
        <w:rPr>
          <w:rFonts w:ascii="Times New Roman" w:eastAsiaTheme="minorEastAsia" w:hAnsi="Times New Roman" w:cs="Times New Roman"/>
          <w:sz w:val="16"/>
          <w:szCs w:val="16"/>
          <w:lang w:eastAsia="zh-CN"/>
        </w:rPr>
        <w:t>* Corresponding authors:</w:t>
      </w:r>
    </w:p>
    <w:p w14:paraId="2B0DABF9" w14:textId="3B0B0EFC" w:rsidR="001C4C19" w:rsidRPr="001C4C19" w:rsidRDefault="001C4C19" w:rsidP="001C4C19">
      <w:pPr>
        <w:spacing w:after="0" w:line="240" w:lineRule="auto"/>
        <w:rPr>
          <w:rFonts w:ascii="Times New Roman" w:eastAsiaTheme="minorEastAsia" w:hAnsi="Times New Roman" w:cs="Times New Roman"/>
          <w:sz w:val="16"/>
          <w:szCs w:val="16"/>
          <w:lang w:eastAsia="zh-CN"/>
        </w:rPr>
      </w:pPr>
      <w:r w:rsidRPr="001C4C19">
        <w:rPr>
          <w:rFonts w:ascii="Times New Roman" w:eastAsiaTheme="minorEastAsia" w:hAnsi="Times New Roman" w:cs="Times New Roman"/>
          <w:sz w:val="16"/>
          <w:szCs w:val="16"/>
          <w:lang w:eastAsia="zh-CN"/>
        </w:rPr>
        <w:t>Postal address: Department of Food Science &amp; Technology, National University of Singapore, Science Drive 2, Singapore 117542, Singapore</w:t>
      </w:r>
    </w:p>
    <w:p w14:paraId="5BB05986" w14:textId="77777777" w:rsidR="003C2E1D" w:rsidRDefault="00000000">
      <w:pPr>
        <w:pStyle w:val="Els-Abstract-head"/>
        <w:spacing w:before="120" w:after="0" w:line="240" w:lineRule="auto"/>
        <w:rPr>
          <w:sz w:val="20"/>
        </w:rPr>
      </w:pPr>
      <w:r>
        <w:rPr>
          <w:sz w:val="20"/>
        </w:rPr>
        <w:t>Abstract</w:t>
      </w:r>
    </w:p>
    <w:p w14:paraId="3DE9593E" w14:textId="14111A32" w:rsidR="001C4C19" w:rsidRPr="001C4C19" w:rsidRDefault="001C4C19" w:rsidP="001C4C19">
      <w:pPr>
        <w:pStyle w:val="Els-keywords"/>
        <w:spacing w:after="120" w:line="240" w:lineRule="auto"/>
        <w:rPr>
          <w:rFonts w:hint="eastAsia"/>
          <w:sz w:val="20"/>
          <w:lang w:eastAsia="zh-CN"/>
        </w:rPr>
      </w:pPr>
      <w:r>
        <w:rPr>
          <w:sz w:val="20"/>
        </w:rPr>
        <w:t>Noni fruit (</w:t>
      </w:r>
      <w:r>
        <w:rPr>
          <w:i/>
          <w:iCs/>
          <w:sz w:val="20"/>
        </w:rPr>
        <w:t>Morinda citrifolia</w:t>
      </w:r>
      <w:r>
        <w:rPr>
          <w:sz w:val="20"/>
        </w:rPr>
        <w:t xml:space="preserve"> L.) is a tropical fruit valued for its rich bioactive composition and potential health-promoting properties, but its commercial application is limited by an undesirable flavor characterized by pungent, rancid, and fatty-acid-like notes. This work summarizes three studies investigating dried noni fruit slurry (DNFS) as a fermentation substrate for probiotic lactic acid bacteria (LAB), </w:t>
      </w:r>
      <w:r>
        <w:rPr>
          <w:i/>
          <w:iCs/>
          <w:sz w:val="20"/>
        </w:rPr>
        <w:t>Saccharomyces cerevisiae</w:t>
      </w:r>
      <w:r>
        <w:rPr>
          <w:sz w:val="20"/>
        </w:rPr>
        <w:t>, and non-</w:t>
      </w:r>
      <w:r>
        <w:rPr>
          <w:i/>
          <w:iCs/>
          <w:sz w:val="20"/>
        </w:rPr>
        <w:t>Saccharomyces</w:t>
      </w:r>
      <w:r>
        <w:rPr>
          <w:sz w:val="20"/>
        </w:rPr>
        <w:t xml:space="preserve"> yeasts, with the aim of improving both sensory quality and functional value. Across the</w:t>
      </w:r>
      <w:r w:rsidR="0012142B">
        <w:rPr>
          <w:rFonts w:hint="eastAsia"/>
          <w:sz w:val="20"/>
          <w:lang w:eastAsia="zh-CN"/>
        </w:rPr>
        <w:t xml:space="preserve"> </w:t>
      </w:r>
      <w:r>
        <w:rPr>
          <w:sz w:val="20"/>
        </w:rPr>
        <w:t xml:space="preserve">studies, DNFS supported satisfactory microbial growth, confirming its suitability as a versatile fermentation base. Fermentation generally preserved the functional quality of DNFS, as key phenolics and iridoids were largely maintained, with strain-dependent increases observed in selected compounds such as rutin, chlorogenic acid, deacetylasperulosidic acid, and vanillic acid. More importantly, fermentation consistently shifted the volatile profile toward more desirable aroma characteristics. LAB fermentation enhanced lactic acid production and increased aroma-active alcohols, while </w:t>
      </w:r>
      <w:r>
        <w:rPr>
          <w:i/>
          <w:iCs/>
          <w:sz w:val="20"/>
        </w:rPr>
        <w:t>S. cerevisiae</w:t>
      </w:r>
      <w:r>
        <w:rPr>
          <w:sz w:val="20"/>
        </w:rPr>
        <w:t xml:space="preserve"> promoted ester and higher alcohol formation and reduced rancid medium-chain fatty acids. Among the non-</w:t>
      </w:r>
      <w:r>
        <w:rPr>
          <w:i/>
          <w:iCs/>
          <w:sz w:val="20"/>
        </w:rPr>
        <w:t>Saccharomyces</w:t>
      </w:r>
      <w:r>
        <w:rPr>
          <w:sz w:val="20"/>
        </w:rPr>
        <w:t xml:space="preserve"> yeasts, </w:t>
      </w:r>
      <w:r>
        <w:rPr>
          <w:i/>
          <w:iCs/>
          <w:sz w:val="20"/>
        </w:rPr>
        <w:t xml:space="preserve">Pichia </w:t>
      </w:r>
      <w:proofErr w:type="spellStart"/>
      <w:r>
        <w:rPr>
          <w:i/>
          <w:iCs/>
          <w:sz w:val="20"/>
        </w:rPr>
        <w:t>kluyveri</w:t>
      </w:r>
      <w:proofErr w:type="spellEnd"/>
      <w:r>
        <w:rPr>
          <w:sz w:val="20"/>
        </w:rPr>
        <w:t xml:space="preserve"> </w:t>
      </w:r>
      <w:proofErr w:type="spellStart"/>
      <w:r>
        <w:rPr>
          <w:sz w:val="20"/>
        </w:rPr>
        <w:t>Frootzen</w:t>
      </w:r>
      <w:proofErr w:type="spellEnd"/>
      <w:r>
        <w:rPr>
          <w:sz w:val="20"/>
        </w:rPr>
        <w:t xml:space="preserve"> and </w:t>
      </w:r>
      <w:proofErr w:type="spellStart"/>
      <w:r>
        <w:rPr>
          <w:i/>
          <w:iCs/>
          <w:sz w:val="20"/>
        </w:rPr>
        <w:t>Williopsis</w:t>
      </w:r>
      <w:proofErr w:type="spellEnd"/>
      <w:r>
        <w:rPr>
          <w:i/>
          <w:iCs/>
          <w:sz w:val="20"/>
        </w:rPr>
        <w:t xml:space="preserve"> </w:t>
      </w:r>
      <w:proofErr w:type="spellStart"/>
      <w:r>
        <w:rPr>
          <w:i/>
          <w:iCs/>
          <w:sz w:val="20"/>
        </w:rPr>
        <w:t>saturnus</w:t>
      </w:r>
      <w:proofErr w:type="spellEnd"/>
      <w:r>
        <w:rPr>
          <w:sz w:val="20"/>
        </w:rPr>
        <w:t xml:space="preserve"> NCYC22 showed particularly strong potential to enhance fruity and floral notes. Overall, these findings demonstrate that DNFS is a promising substrate for the development of functional fermented beverages, and that different microbial groups offer distinct but complementary routes for balancing bioactive retention and flavor improvement.</w:t>
      </w:r>
    </w:p>
    <w:sectPr w:rsidR="001C4C19" w:rsidRPr="001C4C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56759" w14:textId="77777777" w:rsidR="00043C37" w:rsidRDefault="00043C37">
      <w:pPr>
        <w:spacing w:line="240" w:lineRule="auto"/>
      </w:pPr>
      <w:r>
        <w:separator/>
      </w:r>
    </w:p>
  </w:endnote>
  <w:endnote w:type="continuationSeparator" w:id="0">
    <w:p w14:paraId="0791911E" w14:textId="77777777" w:rsidR="00043C37" w:rsidRDefault="00043C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FB3B" w14:textId="77777777" w:rsidR="003C2E1D" w:rsidRDefault="003C2E1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D571" w14:textId="77777777" w:rsidR="003C2E1D" w:rsidRDefault="003C2E1D">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7F9A" w14:textId="77777777" w:rsidR="003C2E1D" w:rsidRDefault="003C2E1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F4AE" w14:textId="77777777" w:rsidR="00043C37" w:rsidRDefault="00043C37">
      <w:pPr>
        <w:spacing w:after="0"/>
      </w:pPr>
      <w:r>
        <w:separator/>
      </w:r>
    </w:p>
  </w:footnote>
  <w:footnote w:type="continuationSeparator" w:id="0">
    <w:p w14:paraId="1E517DDE" w14:textId="77777777" w:rsidR="00043C37" w:rsidRDefault="00043C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DCEB7" w14:textId="77777777" w:rsidR="003C2E1D" w:rsidRDefault="003C2E1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AF08" w14:textId="77777777" w:rsidR="003C2E1D" w:rsidRDefault="003C2E1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D2E6" w14:textId="77777777" w:rsidR="003C2E1D" w:rsidRDefault="003C2E1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56205803"/>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32023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08"/>
  <w:hyphenationZone w:val="425"/>
  <w:displayHorizontalDrawingGridEvery w:val="0"/>
  <w:displayVerticalDrawingGridEvery w:val="2"/>
  <w:characterSpacingControl w:val="doNotCompress"/>
  <w:footnotePr>
    <w:numFmt w:val="chicago"/>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43C37"/>
    <w:rsid w:val="0012142B"/>
    <w:rsid w:val="001C4C19"/>
    <w:rsid w:val="001C51B3"/>
    <w:rsid w:val="00234209"/>
    <w:rsid w:val="002537DA"/>
    <w:rsid w:val="002A0A1C"/>
    <w:rsid w:val="002A2B3C"/>
    <w:rsid w:val="00372579"/>
    <w:rsid w:val="003B0ABD"/>
    <w:rsid w:val="003C2E1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753D4"/>
    <w:rsid w:val="00DC6D20"/>
    <w:rsid w:val="00DD4FF9"/>
    <w:rsid w:val="00EB3D50"/>
    <w:rsid w:val="00F55548"/>
    <w:rsid w:val="17704F6D"/>
    <w:rsid w:val="541C7EC3"/>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CCC9"/>
  <w14:defaultImageDpi w14:val="330"/>
  <w15:docId w15:val="{28AF0D07-70E2-430F-8714-A2133236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val="nb-N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513"/>
        <w:tab w:val="right" w:pos="9026"/>
      </w:tabs>
      <w:spacing w:after="0" w:line="240" w:lineRule="auto"/>
    </w:pPr>
  </w:style>
  <w:style w:type="paragraph" w:styleId="a5">
    <w:name w:val="header"/>
    <w:basedOn w:val="a"/>
    <w:link w:val="a6"/>
    <w:uiPriority w:val="99"/>
    <w:unhideWhenUsed/>
    <w:qFormat/>
    <w:pPr>
      <w:tabs>
        <w:tab w:val="center" w:pos="4513"/>
        <w:tab w:val="right" w:pos="9026"/>
      </w:tabs>
      <w:spacing w:after="0" w:line="240" w:lineRule="auto"/>
    </w:pPr>
  </w:style>
  <w:style w:type="paragraph" w:customStyle="1" w:styleId="Els-Abstract-head">
    <w:name w:val="Els-Abstract-head"/>
    <w:next w:val="a"/>
    <w:qFormat/>
    <w:pPr>
      <w:keepNext/>
      <w:pBdr>
        <w:top w:val="single" w:sz="4" w:space="10" w:color="auto"/>
      </w:pBdr>
      <w:suppressAutoHyphens/>
      <w:spacing w:after="220" w:line="220" w:lineRule="exact"/>
    </w:pPr>
    <w:rPr>
      <w:b/>
      <w:sz w:val="18"/>
      <w:lang w:eastAsia="en-US"/>
    </w:rPr>
  </w:style>
  <w:style w:type="paragraph" w:customStyle="1" w:styleId="Els-Abstract-text">
    <w:name w:val="Els-Abstract-text"/>
    <w:next w:val="a"/>
    <w:qFormat/>
    <w:pPr>
      <w:spacing w:line="220" w:lineRule="exact"/>
      <w:jc w:val="both"/>
    </w:pPr>
    <w:rPr>
      <w:sz w:val="18"/>
      <w:lang w:eastAsia="en-US"/>
    </w:rPr>
  </w:style>
  <w:style w:type="paragraph" w:customStyle="1" w:styleId="Els-Affiliation">
    <w:name w:val="Els-Affiliation"/>
    <w:next w:val="Els-Abstract-head"/>
    <w:qFormat/>
    <w:pPr>
      <w:suppressAutoHyphens/>
      <w:spacing w:line="200" w:lineRule="exact"/>
      <w:jc w:val="center"/>
    </w:pPr>
    <w:rPr>
      <w:i/>
      <w:sz w:val="16"/>
      <w:lang w:eastAsia="en-US"/>
    </w:rPr>
  </w:style>
  <w:style w:type="paragraph" w:customStyle="1" w:styleId="Els-Author">
    <w:name w:val="Els-Author"/>
    <w:next w:val="a"/>
    <w:pPr>
      <w:keepNext/>
      <w:suppressAutoHyphens/>
      <w:spacing w:after="160" w:line="300" w:lineRule="exact"/>
      <w:jc w:val="center"/>
    </w:pPr>
    <w:rPr>
      <w:sz w:val="26"/>
      <w:lang w:eastAsia="en-US"/>
    </w:rPr>
  </w:style>
  <w:style w:type="paragraph" w:customStyle="1" w:styleId="Els-footnote">
    <w:name w:val="Els-footnote"/>
    <w:pPr>
      <w:keepLines/>
      <w:widowControl w:val="0"/>
      <w:spacing w:line="200" w:lineRule="exact"/>
      <w:ind w:firstLine="245"/>
      <w:jc w:val="both"/>
    </w:pPr>
    <w:rPr>
      <w:sz w:val="16"/>
      <w:lang w:eastAsia="en-US"/>
    </w:rPr>
  </w:style>
  <w:style w:type="paragraph" w:customStyle="1" w:styleId="Els-Title">
    <w:name w:val="Els-Title"/>
    <w:next w:val="Els-Author"/>
    <w:autoRedefine/>
    <w:pPr>
      <w:suppressAutoHyphens/>
      <w:spacing w:after="240" w:line="400" w:lineRule="exact"/>
      <w:jc w:val="center"/>
    </w:pPr>
    <w:rPr>
      <w:sz w:val="32"/>
      <w:szCs w:val="32"/>
      <w:lang w:eastAsia="en-US"/>
    </w:rPr>
  </w:style>
  <w:style w:type="paragraph" w:customStyle="1" w:styleId="DocHead">
    <w:name w:val="DocHead"/>
    <w:qFormat/>
    <w:pPr>
      <w:spacing w:before="240" w:after="240"/>
      <w:jc w:val="center"/>
    </w:pPr>
    <w:rPr>
      <w:sz w:val="24"/>
      <w:lang w:eastAsia="en-US"/>
    </w:rPr>
  </w:style>
  <w:style w:type="paragraph" w:customStyle="1" w:styleId="Els-1storder-head">
    <w:name w:val="Els-1storder-head"/>
    <w:next w:val="a"/>
    <w:qFormat/>
    <w:pPr>
      <w:keepNext/>
      <w:numPr>
        <w:numId w:val="1"/>
      </w:numPr>
      <w:suppressAutoHyphens/>
      <w:spacing w:before="240" w:after="240" w:line="240" w:lineRule="exact"/>
    </w:pPr>
    <w:rPr>
      <w:b/>
      <w:lang w:eastAsia="en-US"/>
    </w:rPr>
  </w:style>
  <w:style w:type="paragraph" w:customStyle="1" w:styleId="Els-2ndorder-head">
    <w:name w:val="Els-2ndorder-head"/>
    <w:next w:val="a"/>
    <w:qFormat/>
    <w:pPr>
      <w:keepNext/>
      <w:numPr>
        <w:ilvl w:val="1"/>
        <w:numId w:val="1"/>
      </w:numPr>
      <w:suppressAutoHyphens/>
      <w:spacing w:before="240" w:after="240" w:line="240" w:lineRule="exact"/>
    </w:pPr>
    <w:rPr>
      <w:i/>
      <w:lang w:eastAsia="en-US"/>
    </w:rPr>
  </w:style>
  <w:style w:type="paragraph" w:customStyle="1" w:styleId="Els-3rdorder-head">
    <w:name w:val="Els-3rdorder-head"/>
    <w:next w:val="a"/>
    <w:qFormat/>
    <w:pPr>
      <w:keepNext/>
      <w:numPr>
        <w:ilvl w:val="2"/>
        <w:numId w:val="1"/>
      </w:numPr>
      <w:suppressAutoHyphens/>
      <w:spacing w:before="240" w:line="240" w:lineRule="exact"/>
    </w:pPr>
    <w:rPr>
      <w:i/>
      <w:lang w:eastAsia="en-US"/>
    </w:rPr>
  </w:style>
  <w:style w:type="paragraph" w:customStyle="1" w:styleId="Els-4thorder-head">
    <w:name w:val="Els-4thorder-head"/>
    <w:next w:val="a"/>
    <w:qFormat/>
    <w:pPr>
      <w:keepNext/>
      <w:numPr>
        <w:ilvl w:val="3"/>
        <w:numId w:val="1"/>
      </w:numPr>
      <w:suppressAutoHyphens/>
      <w:spacing w:before="240" w:line="240" w:lineRule="exact"/>
    </w:pPr>
    <w:rPr>
      <w:i/>
      <w:lang w:eastAsia="en-US"/>
    </w:rPr>
  </w:style>
  <w:style w:type="paragraph" w:customStyle="1" w:styleId="Els-keywords">
    <w:name w:val="Els-keywords"/>
    <w:next w:val="a"/>
    <w:qFormat/>
    <w:pPr>
      <w:pBdr>
        <w:bottom w:val="single" w:sz="4" w:space="10" w:color="auto"/>
      </w:pBdr>
      <w:spacing w:after="200" w:line="200" w:lineRule="exact"/>
    </w:pPr>
    <w:rPr>
      <w:sz w:val="16"/>
      <w:lang w:eastAsia="en-US"/>
    </w:rPr>
  </w:style>
  <w:style w:type="character" w:customStyle="1" w:styleId="a6">
    <w:name w:val="页眉 字符"/>
    <w:basedOn w:val="a0"/>
    <w:link w:val="a5"/>
    <w:uiPriority w:val="99"/>
    <w:qFormat/>
  </w:style>
  <w:style w:type="character" w:customStyle="1" w:styleId="a4">
    <w:name w:val="页脚 字符"/>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343</Words>
  <Characters>1959</Characters>
  <Application>Microsoft Office Word</Application>
  <DocSecurity>0</DocSecurity>
  <Lines>16</Lines>
  <Paragraphs>4</Paragraphs>
  <ScaleCrop>false</ScaleCrop>
  <Company>NTNU</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Karlsaune</dc:creator>
  <cp:lastModifiedBy>Zhang Zhuoran</cp:lastModifiedBy>
  <cp:revision>5</cp:revision>
  <dcterms:created xsi:type="dcterms:W3CDTF">2026-02-04T06:37:00Z</dcterms:created>
  <dcterms:modified xsi:type="dcterms:W3CDTF">2026-04-22T03:19:00Z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KSOTemplateDocerSaveRecord">
    <vt:lpwstr>eyJoZGlkIjoiNWFkMGUyNjgyMDRhYjE5NjY1OThjYjhkNTU5MjNlOGMiLCJ1c2VySWQiOiI2OTE5MDg1ODUifQ==</vt:lpwstr>
  </property>
  <property fmtid="{D5CDD505-2E9C-101B-9397-08002B2CF9AE}" pid="4" name="KSOProductBuildVer">
    <vt:lpwstr>2052-12.1.0.25865</vt:lpwstr>
  </property>
  <property fmtid="{D5CDD505-2E9C-101B-9397-08002B2CF9AE}" pid="5" name="ICV">
    <vt:lpwstr>58F224EF7F4B44139D4A41EF17EA191E_12</vt:lpwstr>
  </property>
</Properties>
</file>