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234E7973" w14:textId="77777777" w:rsidR="002F25EE" w:rsidRDefault="002F25EE" w:rsidP="00673656">
      <w:pPr>
        <w:pStyle w:val="Els-Author"/>
        <w:ind w:right="2"/>
        <w:rPr>
          <w:noProof w:val="0"/>
          <w:sz w:val="32"/>
          <w:szCs w:val="32"/>
        </w:rPr>
      </w:pPr>
      <w:r w:rsidRPr="002F25EE">
        <w:rPr>
          <w:noProof w:val="0"/>
          <w:sz w:val="32"/>
          <w:szCs w:val="32"/>
        </w:rPr>
        <w:t>Gradient-structured polysaccharide films toward intelligent and predictive food packaging systems</w:t>
      </w:r>
    </w:p>
    <w:p w14:paraId="5E774EED" w14:textId="41F84EFE" w:rsidR="00673656" w:rsidRPr="009C71BA" w:rsidRDefault="002F25EE" w:rsidP="00673656">
      <w:pPr>
        <w:pStyle w:val="Els-Author"/>
        <w:ind w:right="2"/>
        <w:rPr>
          <w:sz w:val="24"/>
          <w:szCs w:val="24"/>
        </w:rPr>
      </w:pPr>
      <w:r>
        <w:rPr>
          <w:rFonts w:hint="eastAsia"/>
          <w:sz w:val="24"/>
          <w:szCs w:val="24"/>
          <w:lang w:val="nb-NO" w:eastAsia="zh-CN"/>
        </w:rPr>
        <w:t>X.</w:t>
      </w:r>
      <w:r w:rsidR="004C7508" w:rsidRPr="009C71BA">
        <w:rPr>
          <w:sz w:val="24"/>
          <w:szCs w:val="24"/>
          <w:lang w:val="nb-NO"/>
        </w:rPr>
        <w:t xml:space="preserve"> </w:t>
      </w:r>
      <w:r>
        <w:rPr>
          <w:rFonts w:hint="eastAsia"/>
          <w:sz w:val="24"/>
          <w:szCs w:val="24"/>
          <w:lang w:val="nb-NO" w:eastAsia="zh-CN"/>
        </w:rPr>
        <w:t>Jia</w:t>
      </w:r>
      <w:r w:rsidR="00C67487" w:rsidRPr="009C71BA">
        <w:rPr>
          <w:sz w:val="24"/>
          <w:szCs w:val="24"/>
          <w:vertAlign w:val="superscript"/>
          <w:lang w:val="nb-NO"/>
        </w:rPr>
        <w:t>a</w:t>
      </w:r>
      <w:r w:rsidR="00673656" w:rsidRPr="009C71BA">
        <w:rPr>
          <w:sz w:val="24"/>
          <w:szCs w:val="24"/>
          <w:vertAlign w:val="superscript"/>
        </w:rPr>
        <w:footnoteReference w:id="1"/>
      </w:r>
    </w:p>
    <w:p w14:paraId="5342D5C1" w14:textId="221BB0DE" w:rsidR="00673656" w:rsidRPr="00673656" w:rsidRDefault="00673656" w:rsidP="00431340">
      <w:pPr>
        <w:pStyle w:val="Els-Author"/>
        <w:ind w:right="2"/>
        <w:rPr>
          <w:sz w:val="28"/>
          <w:szCs w:val="28"/>
        </w:rPr>
        <w:sectPr w:rsidR="00673656" w:rsidRPr="00673656" w:rsidSect="00431340">
          <w:footnotePr>
            <w:numFmt w:val="chicago"/>
          </w:footnotePr>
          <w:type w:val="continuous"/>
          <w:pgSz w:w="11906" w:h="16838"/>
          <w:pgMar w:top="1440" w:right="1440" w:bottom="1440" w:left="1440" w:header="708" w:footer="708" w:gutter="0"/>
          <w:cols w:space="708"/>
          <w:docGrid w:linePitch="360"/>
        </w:sectPr>
      </w:pPr>
    </w:p>
    <w:p w14:paraId="652CE03F" w14:textId="04A36ABE" w:rsidR="00431340" w:rsidRPr="00234209" w:rsidRDefault="004C7508" w:rsidP="00234209">
      <w:pPr>
        <w:pStyle w:val="Els-Affiliation"/>
        <w:rPr>
          <w:iCs/>
        </w:rPr>
      </w:pPr>
      <w:r>
        <w:rPr>
          <w:vertAlign w:val="superscript"/>
          <w:lang w:val="nb-NO"/>
        </w:rPr>
        <w:t>a</w:t>
      </w:r>
      <w:r w:rsidRPr="00234209">
        <w:rPr>
          <w:lang w:val="nb-NO"/>
        </w:rPr>
        <w:t xml:space="preserve"> </w:t>
      </w:r>
      <w:r w:rsidR="002F25EE" w:rsidRPr="00CB01E7">
        <w:rPr>
          <w:rFonts w:eastAsia="Times New Roman"/>
        </w:rPr>
        <w:t>Institute of Food Science and Technology, Chinese Academy of Agricultural Sciences</w:t>
      </w:r>
      <w:r w:rsidR="002F25EE" w:rsidRPr="00CB01E7">
        <w:t>, Beijing 100193, People’s Republic of China</w:t>
      </w:r>
      <w:r w:rsidRPr="00234209">
        <w:rPr>
          <w:lang w:val="nb-NO"/>
        </w:rPr>
        <w:t xml:space="preserve"> </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56CCE916" w14:textId="76BAEC38" w:rsidR="004C7508" w:rsidRDefault="002F25EE" w:rsidP="00665C88">
      <w:pPr>
        <w:pStyle w:val="Els-Abstract-head"/>
        <w:spacing w:before="120" w:after="0" w:line="240" w:lineRule="auto"/>
        <w:jc w:val="both"/>
        <w:rPr>
          <w:b w:val="0"/>
          <w:sz w:val="20"/>
        </w:rPr>
      </w:pPr>
      <w:r w:rsidRPr="002F25EE">
        <w:rPr>
          <w:b w:val="0"/>
          <w:sz w:val="20"/>
        </w:rPr>
        <w:t>Food packaging is evolving from passive protection toward systems that simultaneously preserve food and report quality changes. A key challenge is that multifunctional films often suffer from component incompatibility and weak coupling between preservation and signal output</w:t>
      </w:r>
      <w:r>
        <w:rPr>
          <w:rFonts w:hint="eastAsia"/>
          <w:b w:val="0"/>
          <w:sz w:val="20"/>
          <w:lang w:eastAsia="zh-CN"/>
        </w:rPr>
        <w:t xml:space="preserve"> [1]</w:t>
      </w:r>
      <w:r w:rsidRPr="002F25EE">
        <w:rPr>
          <w:b w:val="0"/>
          <w:sz w:val="20"/>
        </w:rPr>
        <w:t>. Here, we developed a gradient-structured polysaccharide film via interfacial co-precipitation, spatially integrating chitosan, curdlan, zinc, and curcumin into a unified architecture. This design overcomes pH incompatibility while preserving bioactive functionality. The optimized film exhibits high tensile strength (~55 MPa), improved water resistance, and enhanced antioxidant and antimicrobial activity, effectively reducing decay and weight loss of blueberries during storage</w:t>
      </w:r>
      <w:r>
        <w:rPr>
          <w:rFonts w:hint="eastAsia"/>
          <w:b w:val="0"/>
          <w:sz w:val="20"/>
          <w:lang w:eastAsia="zh-CN"/>
        </w:rPr>
        <w:t xml:space="preserve"> [2]</w:t>
      </w:r>
      <w:r w:rsidRPr="002F25EE">
        <w:rPr>
          <w:b w:val="0"/>
          <w:sz w:val="20"/>
        </w:rPr>
        <w:t>. These results highlight that packaging performance depends not only on composition but also on spatial organization and mass transport within the matrix. Building on this, our ongoing work investigates how multilayer structures regulate the migration of spoilage signals and determine the reliability of visual readout</w:t>
      </w:r>
      <w:r>
        <w:rPr>
          <w:rFonts w:hint="eastAsia"/>
          <w:b w:val="0"/>
          <w:sz w:val="20"/>
          <w:lang w:eastAsia="zh-CN"/>
        </w:rPr>
        <w:t xml:space="preserve"> [3]</w:t>
      </w:r>
      <w:r w:rsidRPr="002F25EE">
        <w:rPr>
          <w:b w:val="0"/>
          <w:sz w:val="20"/>
        </w:rPr>
        <w:t>. This study advances structurally programmable, signal-responsive packaging systems toward predictive performance in real food environments</w:t>
      </w:r>
      <w:r w:rsidR="004C7508" w:rsidRPr="004C7508">
        <w:rPr>
          <w:b w:val="0"/>
          <w:sz w:val="20"/>
        </w:rPr>
        <w:t>.</w:t>
      </w:r>
    </w:p>
    <w:p w14:paraId="7687299F" w14:textId="77777777" w:rsidR="007679DD" w:rsidRPr="0078067E" w:rsidRDefault="007679DD" w:rsidP="007679DD">
      <w:pPr>
        <w:rPr>
          <w:rFonts w:ascii="Times New Roman" w:hAnsi="Times New Roman" w:cs="Times New Roman"/>
          <w:sz w:val="20"/>
          <w:szCs w:val="20"/>
          <w:lang w:val="en-US" w:eastAsia="zh-CN"/>
        </w:rPr>
      </w:pP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6911FF96" w14:textId="168BC04E" w:rsidR="00665C88" w:rsidRPr="00665C88" w:rsidRDefault="002A0A1C" w:rsidP="00665C88">
      <w:pPr>
        <w:pStyle w:val="Els-keywords"/>
        <w:spacing w:after="120" w:line="240" w:lineRule="auto"/>
        <w:rPr>
          <w:sz w:val="20"/>
        </w:rPr>
      </w:pPr>
      <w:r w:rsidRPr="00C67487">
        <w:rPr>
          <w:sz w:val="20"/>
        </w:rPr>
        <w:t xml:space="preserve">[1] </w:t>
      </w:r>
      <w:r w:rsidR="002F25EE" w:rsidRPr="002F25EE">
        <w:rPr>
          <w:sz w:val="20"/>
          <w:lang w:val="nb-NO"/>
        </w:rPr>
        <w:t>Jia, X., Li, X., Alharbi, M. O., Ma, P., Ismail-Fitry, M. R., Xia, S., ... &amp; Wang, Q. (2025). AI awakens food packaging: Integrative advances, challenges, and future perspectives. </w:t>
      </w:r>
      <w:r w:rsidR="002F25EE" w:rsidRPr="002F25EE">
        <w:rPr>
          <w:i/>
          <w:iCs/>
          <w:sz w:val="20"/>
          <w:lang w:val="nb-NO"/>
        </w:rPr>
        <w:t>Trends in Food Science &amp; Technology</w:t>
      </w:r>
      <w:r w:rsidR="002F25EE" w:rsidRPr="002F25EE">
        <w:rPr>
          <w:sz w:val="20"/>
          <w:lang w:val="nb-NO"/>
        </w:rPr>
        <w:t>, 105466.</w:t>
      </w:r>
    </w:p>
    <w:p w14:paraId="00762087" w14:textId="77777777" w:rsidR="002F25EE" w:rsidRDefault="002A0A1C" w:rsidP="0078067E">
      <w:pPr>
        <w:pStyle w:val="Els-keywords"/>
        <w:spacing w:after="120" w:line="240" w:lineRule="auto"/>
        <w:rPr>
          <w:sz w:val="20"/>
          <w:lang w:val="nb-NO"/>
        </w:rPr>
      </w:pPr>
      <w:r w:rsidRPr="00C67487">
        <w:rPr>
          <w:sz w:val="20"/>
        </w:rPr>
        <w:t xml:space="preserve">[2] </w:t>
      </w:r>
      <w:r w:rsidR="002F25EE" w:rsidRPr="002F25EE">
        <w:rPr>
          <w:sz w:val="20"/>
          <w:lang w:val="nb-NO"/>
        </w:rPr>
        <w:t>Jia, X., Ma, P., Yi, Z., Tarwa, K., Jha, A., &amp; Wang, Q. (2025). Gradient curdlan@ Zn/chitosan@ curcumin composite films by interfacial co-precipitation for enhanced fruit preservation. </w:t>
      </w:r>
      <w:r w:rsidR="002F25EE" w:rsidRPr="002F25EE">
        <w:rPr>
          <w:i/>
          <w:iCs/>
          <w:sz w:val="20"/>
          <w:lang w:val="nb-NO"/>
        </w:rPr>
        <w:t>International Journal of Biological Macromolecules</w:t>
      </w:r>
      <w:r w:rsidR="002F25EE" w:rsidRPr="002F25EE">
        <w:rPr>
          <w:sz w:val="20"/>
          <w:lang w:val="nb-NO"/>
        </w:rPr>
        <w:t>, 148714.</w:t>
      </w:r>
    </w:p>
    <w:p w14:paraId="7BC67066" w14:textId="452DA60C" w:rsidR="003B0ABD" w:rsidRPr="002537DA" w:rsidRDefault="002F25EE" w:rsidP="0078067E">
      <w:pPr>
        <w:pStyle w:val="Els-keywords"/>
        <w:spacing w:after="120" w:line="240" w:lineRule="auto"/>
        <w:rPr>
          <w:sz w:val="20"/>
          <w:lang w:eastAsia="zh-CN"/>
        </w:rPr>
      </w:pPr>
      <w:r>
        <w:rPr>
          <w:rFonts w:hint="eastAsia"/>
          <w:sz w:val="20"/>
          <w:lang w:eastAsia="zh-CN"/>
        </w:rPr>
        <w:t xml:space="preserve">[3] </w:t>
      </w:r>
      <w:r w:rsidRPr="002F25EE">
        <w:rPr>
          <w:sz w:val="20"/>
          <w:lang w:val="nb-NO" w:eastAsia="zh-CN"/>
        </w:rPr>
        <w:t>Jia, X., Shen, H., Li, X., Li, H., Huang, H., Ma, P., ... &amp; Li, Y. (2026). Coordination-driven materials in food systems: advances in packaging, delivery, and safety monitoring. </w:t>
      </w:r>
      <w:r w:rsidRPr="002F25EE">
        <w:rPr>
          <w:i/>
          <w:iCs/>
          <w:sz w:val="20"/>
          <w:lang w:val="nb-NO" w:eastAsia="zh-CN"/>
        </w:rPr>
        <w:t>Coordination Chemistry Reviews</w:t>
      </w:r>
      <w:r w:rsidRPr="002F25EE">
        <w:rPr>
          <w:sz w:val="20"/>
          <w:lang w:val="nb-NO" w:eastAsia="zh-CN"/>
        </w:rPr>
        <w:t>, </w:t>
      </w:r>
      <w:r w:rsidRPr="002F25EE">
        <w:rPr>
          <w:i/>
          <w:iCs/>
          <w:sz w:val="20"/>
          <w:lang w:val="nb-NO" w:eastAsia="zh-CN"/>
        </w:rPr>
        <w:t>556</w:t>
      </w:r>
      <w:r w:rsidRPr="002F25EE">
        <w:rPr>
          <w:sz w:val="20"/>
          <w:lang w:val="nb-NO" w:eastAsia="zh-CN"/>
        </w:rPr>
        <w:t>, 217697.</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B0CC0" w14:textId="77777777" w:rsidR="000202B0" w:rsidRDefault="000202B0" w:rsidP="00431340">
      <w:pPr>
        <w:spacing w:after="0" w:line="240" w:lineRule="auto"/>
      </w:pPr>
      <w:r>
        <w:separator/>
      </w:r>
    </w:p>
  </w:endnote>
  <w:endnote w:type="continuationSeparator" w:id="0">
    <w:p w14:paraId="4887E726" w14:textId="77777777" w:rsidR="000202B0" w:rsidRDefault="000202B0"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A2F6A" w14:textId="77777777" w:rsidR="000202B0" w:rsidRDefault="000202B0" w:rsidP="00431340">
      <w:pPr>
        <w:spacing w:after="0" w:line="240" w:lineRule="auto"/>
      </w:pPr>
      <w:r>
        <w:separator/>
      </w:r>
    </w:p>
  </w:footnote>
  <w:footnote w:type="continuationSeparator" w:id="0">
    <w:p w14:paraId="2D815C3A" w14:textId="77777777" w:rsidR="000202B0" w:rsidRDefault="000202B0" w:rsidP="00431340">
      <w:pPr>
        <w:spacing w:after="0" w:line="240" w:lineRule="auto"/>
      </w:pPr>
      <w:r>
        <w:continuationSeparator/>
      </w:r>
    </w:p>
  </w:footnote>
  <w:footnote w:id="1">
    <w:p w14:paraId="1DA89215" w14:textId="049E80CD" w:rsidR="00673656" w:rsidRPr="00BF77A7" w:rsidRDefault="00673656" w:rsidP="00673656">
      <w:pPr>
        <w:pStyle w:val="Els-footnote"/>
        <w:ind w:firstLine="120"/>
        <w:rPr>
          <w:rFonts w:hint="eastAsia"/>
          <w:sz w:val="18"/>
          <w:szCs w:val="18"/>
          <w:lang w:eastAsia="zh-CN"/>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bookmarkEnd w:id="0"/>
      <w:bookmarkEnd w:id="1"/>
      <w:bookmarkEnd w:id="2"/>
      <w:bookmarkEnd w:id="3"/>
      <w:r w:rsidR="00B759D1">
        <w:rPr>
          <w:rFonts w:hint="eastAsia"/>
          <w:sz w:val="18"/>
          <w:szCs w:val="18"/>
          <w:lang w:val="nb-NO" w:eastAsia="zh-CN"/>
        </w:rPr>
        <w:t>jiaxiaoxue@caas.cn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202B0"/>
    <w:rsid w:val="001C51B3"/>
    <w:rsid w:val="00234209"/>
    <w:rsid w:val="002537DA"/>
    <w:rsid w:val="002A0A1C"/>
    <w:rsid w:val="002A2B3C"/>
    <w:rsid w:val="002F25EE"/>
    <w:rsid w:val="00372579"/>
    <w:rsid w:val="003B0ABD"/>
    <w:rsid w:val="003C6EFF"/>
    <w:rsid w:val="00431340"/>
    <w:rsid w:val="004B7E87"/>
    <w:rsid w:val="004C7508"/>
    <w:rsid w:val="004D1125"/>
    <w:rsid w:val="0059506C"/>
    <w:rsid w:val="005B77D8"/>
    <w:rsid w:val="00646E7D"/>
    <w:rsid w:val="00654033"/>
    <w:rsid w:val="00665C88"/>
    <w:rsid w:val="00673656"/>
    <w:rsid w:val="006D3652"/>
    <w:rsid w:val="0070599D"/>
    <w:rsid w:val="007679DD"/>
    <w:rsid w:val="00772B06"/>
    <w:rsid w:val="007752C7"/>
    <w:rsid w:val="0078067E"/>
    <w:rsid w:val="00781D43"/>
    <w:rsid w:val="00827794"/>
    <w:rsid w:val="009C71BA"/>
    <w:rsid w:val="00B759D1"/>
    <w:rsid w:val="00BE265A"/>
    <w:rsid w:val="00BF672F"/>
    <w:rsid w:val="00BF77A7"/>
    <w:rsid w:val="00C17F75"/>
    <w:rsid w:val="00C4616B"/>
    <w:rsid w:val="00C67487"/>
    <w:rsid w:val="00CC179B"/>
    <w:rsid w:val="00D10E69"/>
    <w:rsid w:val="00D753D4"/>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6F0403-E370-494D-B765-20D2FD758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335</Words>
  <Characters>1910</Characters>
  <Application>Microsoft Office Word</Application>
  <DocSecurity>0</DocSecurity>
  <Lines>15</Lines>
  <Paragraphs>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Xiaoxue Jia</cp:lastModifiedBy>
  <cp:revision>4</cp:revision>
  <dcterms:created xsi:type="dcterms:W3CDTF">2026-02-04T06:37:00Z</dcterms:created>
  <dcterms:modified xsi:type="dcterms:W3CDTF">2026-04-22T07:25:00Z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