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67C22596" w14:textId="77777777" w:rsidR="00C844E9" w:rsidRDefault="00C844E9" w:rsidP="00673656">
      <w:pPr>
        <w:pStyle w:val="Els-Author"/>
        <w:ind w:right="2"/>
        <w:rPr>
          <w:noProof w:val="0"/>
          <w:sz w:val="32"/>
          <w:szCs w:val="32"/>
        </w:rPr>
      </w:pPr>
      <w:r w:rsidRPr="00C844E9">
        <w:rPr>
          <w:noProof w:val="0"/>
          <w:sz w:val="32"/>
          <w:szCs w:val="32"/>
        </w:rPr>
        <w:t xml:space="preserve">Development of a stable emulsion system from </w:t>
      </w:r>
      <w:r w:rsidRPr="00A070B1">
        <w:rPr>
          <w:i/>
          <w:iCs/>
          <w:noProof w:val="0"/>
          <w:sz w:val="32"/>
          <w:szCs w:val="32"/>
        </w:rPr>
        <w:t xml:space="preserve">Fusarium </w:t>
      </w:r>
      <w:proofErr w:type="spellStart"/>
      <w:r w:rsidRPr="00A070B1">
        <w:rPr>
          <w:i/>
          <w:iCs/>
          <w:noProof w:val="0"/>
          <w:sz w:val="32"/>
          <w:szCs w:val="32"/>
        </w:rPr>
        <w:t>venenatum</w:t>
      </w:r>
      <w:proofErr w:type="spellEnd"/>
      <w:r w:rsidRPr="00C844E9">
        <w:rPr>
          <w:noProof w:val="0"/>
          <w:sz w:val="32"/>
          <w:szCs w:val="32"/>
        </w:rPr>
        <w:t xml:space="preserve"> TB01 mycelium protein for sustainable protein beverage applications</w:t>
      </w:r>
    </w:p>
    <w:p w14:paraId="5E774EED" w14:textId="5ACF0598" w:rsidR="00673656" w:rsidRPr="00550891" w:rsidRDefault="00C844E9" w:rsidP="00673656">
      <w:pPr>
        <w:pStyle w:val="Els-Author"/>
        <w:ind w:right="2"/>
        <w:rPr>
          <w:rFonts w:hint="eastAsia"/>
          <w:sz w:val="24"/>
          <w:szCs w:val="24"/>
        </w:rPr>
      </w:pPr>
      <w:r>
        <w:rPr>
          <w:rFonts w:hint="eastAsia"/>
          <w:sz w:val="24"/>
          <w:szCs w:val="24"/>
          <w:lang w:eastAsia="zh-CN"/>
        </w:rPr>
        <w:t>Q</w:t>
      </w:r>
      <w:r w:rsidR="004C7508" w:rsidRPr="009C71BA">
        <w:rPr>
          <w:sz w:val="24"/>
          <w:szCs w:val="24"/>
          <w:lang w:val="nb-NO"/>
        </w:rPr>
        <w:t>.</w:t>
      </w:r>
      <w:r w:rsidR="00550891">
        <w:rPr>
          <w:rFonts w:hint="eastAsia"/>
          <w:sz w:val="24"/>
          <w:szCs w:val="24"/>
          <w:lang w:val="nb-NO" w:eastAsia="zh-CN"/>
        </w:rPr>
        <w:t xml:space="preserve"> </w:t>
      </w:r>
      <w:r>
        <w:rPr>
          <w:rFonts w:hint="eastAsia"/>
          <w:sz w:val="24"/>
          <w:szCs w:val="24"/>
          <w:lang w:val="nb-NO" w:eastAsia="zh-CN"/>
        </w:rPr>
        <w:t>C</w:t>
      </w:r>
      <w:r w:rsidR="004C7508" w:rsidRPr="009C71BA">
        <w:rPr>
          <w:sz w:val="24"/>
          <w:szCs w:val="24"/>
          <w:lang w:val="nb-NO"/>
        </w:rPr>
        <w:t xml:space="preserve">. </w:t>
      </w:r>
      <w:r>
        <w:rPr>
          <w:rFonts w:hint="eastAsia"/>
          <w:sz w:val="24"/>
          <w:szCs w:val="24"/>
          <w:lang w:val="nb-NO" w:eastAsia="zh-CN"/>
        </w:rPr>
        <w:t>Liu</w:t>
      </w:r>
      <w:r w:rsidR="00C67487" w:rsidRPr="009C71BA">
        <w:rPr>
          <w:sz w:val="24"/>
          <w:szCs w:val="24"/>
          <w:vertAlign w:val="superscript"/>
          <w:lang w:val="nb-NO"/>
        </w:rPr>
        <w:t>a</w:t>
      </w:r>
      <w:r w:rsidR="00A070B1">
        <w:rPr>
          <w:rFonts w:hint="eastAsia"/>
          <w:sz w:val="24"/>
          <w:szCs w:val="24"/>
          <w:vertAlign w:val="superscript"/>
          <w:lang w:val="nb-NO" w:eastAsia="zh-CN"/>
        </w:rPr>
        <w:t>, b</w:t>
      </w:r>
      <w:r w:rsidR="00550891">
        <w:rPr>
          <w:rFonts w:hint="eastAsia"/>
          <w:sz w:val="24"/>
          <w:szCs w:val="24"/>
          <w:lang w:val="nb-NO" w:eastAsia="zh-CN"/>
        </w:rPr>
        <w:t>, T. Hou</w:t>
      </w:r>
      <w:r w:rsidR="00550891" w:rsidRPr="00550891">
        <w:rPr>
          <w:sz w:val="24"/>
          <w:szCs w:val="24"/>
          <w:vertAlign w:val="superscript"/>
          <w:lang w:val="nb-NO"/>
        </w:rPr>
        <w:t xml:space="preserve"> </w:t>
      </w:r>
      <w:r w:rsidR="00550891" w:rsidRPr="009C71BA">
        <w:rPr>
          <w:sz w:val="24"/>
          <w:szCs w:val="24"/>
          <w:vertAlign w:val="superscript"/>
          <w:lang w:val="nb-NO"/>
        </w:rPr>
        <w:t>a</w:t>
      </w:r>
      <w:r w:rsidR="00550891">
        <w:rPr>
          <w:rFonts w:hint="eastAsia"/>
          <w:sz w:val="24"/>
          <w:szCs w:val="24"/>
          <w:vertAlign w:val="superscript"/>
          <w:lang w:val="nb-NO" w:eastAsia="zh-CN"/>
        </w:rPr>
        <w:t>, b</w:t>
      </w:r>
    </w:p>
    <w:p w14:paraId="5342D5C1" w14:textId="2041EE31" w:rsidR="00673656" w:rsidRPr="00673656" w:rsidRDefault="00673656" w:rsidP="00431340">
      <w:pPr>
        <w:pStyle w:val="Els-Author"/>
        <w:ind w:right="2"/>
        <w:rPr>
          <w:rFonts w:hint="eastAsia"/>
          <w:sz w:val="28"/>
          <w:szCs w:val="28"/>
          <w:lang w:eastAsia="zh-CN"/>
        </w:rPr>
        <w:sectPr w:rsidR="00673656" w:rsidRPr="00673656" w:rsidSect="00431340">
          <w:footnotePr>
            <w:numFmt w:val="chicago"/>
          </w:footnotePr>
          <w:type w:val="continuous"/>
          <w:pgSz w:w="11906" w:h="16838"/>
          <w:pgMar w:top="1440" w:right="1440" w:bottom="1440" w:left="1440" w:header="708" w:footer="708" w:gutter="0"/>
          <w:cols w:space="708"/>
          <w:docGrid w:linePitch="360"/>
        </w:sectPr>
      </w:pPr>
    </w:p>
    <w:p w14:paraId="52852538" w14:textId="4CA93AED" w:rsidR="00A070B1" w:rsidRPr="00A070B1" w:rsidRDefault="004C7508" w:rsidP="00A070B1">
      <w:pPr>
        <w:pStyle w:val="Els-Affiliation"/>
        <w:rPr>
          <w:lang w:val="nb-NO"/>
        </w:rPr>
      </w:pPr>
      <w:r>
        <w:rPr>
          <w:vertAlign w:val="superscript"/>
          <w:lang w:val="nb-NO"/>
        </w:rPr>
        <w:t>a</w:t>
      </w:r>
      <w:r w:rsidRPr="00234209">
        <w:rPr>
          <w:lang w:val="nb-NO"/>
        </w:rPr>
        <w:t xml:space="preserve"> </w:t>
      </w:r>
      <w:r w:rsidR="00A070B1" w:rsidRPr="00A070B1">
        <w:rPr>
          <w:lang w:val="nb-NO"/>
        </w:rPr>
        <w:t>College of Food Science and Technology, Huazhong Agricultural University, Wuhan 430070, China</w:t>
      </w:r>
    </w:p>
    <w:p w14:paraId="652CE03F" w14:textId="22CC9AA9" w:rsidR="00A070B1" w:rsidRPr="00234209" w:rsidRDefault="00A070B1" w:rsidP="00A070B1">
      <w:pPr>
        <w:pStyle w:val="Els-Affiliation"/>
        <w:rPr>
          <w:lang w:val="nb-NO" w:eastAsia="zh-CN"/>
        </w:rPr>
      </w:pPr>
      <w:r w:rsidRPr="00234209">
        <w:rPr>
          <w:vertAlign w:val="superscript"/>
          <w:lang w:val="nb-NO"/>
        </w:rPr>
        <w:t>b</w:t>
      </w:r>
      <w:r w:rsidRPr="00A070B1">
        <w:rPr>
          <w:lang w:val="nb-NO"/>
        </w:rPr>
        <w:t xml:space="preserve"> Key Laboratory of Environment Correlative Dietology (Huazhong Agricultural University), Ministry of Education, Wuhan 43000, China</w:t>
      </w:r>
    </w:p>
    <w:p w14:paraId="05A3C6FA" w14:textId="1E55F8CC" w:rsidR="00431340" w:rsidRDefault="00431340" w:rsidP="00A070B1">
      <w:pPr>
        <w:pStyle w:val="Els-Affiliation"/>
        <w:spacing w:after="400"/>
        <w:jc w:val="left"/>
        <w:rPr>
          <w:lang w:eastAsia="zh-CN"/>
        </w:rPr>
      </w:pP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55761A3B" w14:textId="238D3AA5" w:rsidR="006610E5" w:rsidRPr="006610E5" w:rsidRDefault="006610E5" w:rsidP="006610E5">
      <w:pPr>
        <w:pStyle w:val="Els-Abstract-head"/>
        <w:spacing w:before="120" w:after="0" w:line="240" w:lineRule="auto"/>
        <w:jc w:val="both"/>
        <w:rPr>
          <w:b w:val="0"/>
          <w:sz w:val="20"/>
          <w:lang w:eastAsia="zh-CN"/>
        </w:rPr>
      </w:pPr>
      <w:r w:rsidRPr="006610E5">
        <w:rPr>
          <w:b w:val="0"/>
          <w:sz w:val="20"/>
        </w:rPr>
        <w:t xml:space="preserve">The growing demand for sustainable protein sources has driven interest in fungal mycelium. </w:t>
      </w:r>
      <w:r w:rsidRPr="006610E5">
        <w:rPr>
          <w:b w:val="0"/>
          <w:i/>
          <w:iCs/>
          <w:sz w:val="20"/>
        </w:rPr>
        <w:t xml:space="preserve">Fusarium </w:t>
      </w:r>
      <w:proofErr w:type="spellStart"/>
      <w:r w:rsidRPr="006610E5">
        <w:rPr>
          <w:b w:val="0"/>
          <w:i/>
          <w:iCs/>
          <w:sz w:val="20"/>
        </w:rPr>
        <w:t>venenatum</w:t>
      </w:r>
      <w:proofErr w:type="spellEnd"/>
      <w:r w:rsidRPr="006610E5">
        <w:rPr>
          <w:b w:val="0"/>
          <w:sz w:val="20"/>
        </w:rPr>
        <w:t xml:space="preserve"> TB01, a filamentous fungus, produces a mycelium rich in both protein and cell wall polysaccharide. However, the emulsion stability of mycelium-based systems remains poorly understood, limiting their application in beverage formulations. This study aimed to elucidate the emulsifying potential of the major protein component and to characterize the role of the cell wall polysaccharide in emulsion formation.</w:t>
      </w:r>
      <w:r>
        <w:rPr>
          <w:rFonts w:hint="eastAsia"/>
          <w:b w:val="0"/>
          <w:sz w:val="20"/>
          <w:lang w:eastAsia="zh-CN"/>
        </w:rPr>
        <w:t xml:space="preserve"> </w:t>
      </w:r>
      <w:r w:rsidRPr="006610E5">
        <w:rPr>
          <w:b w:val="0"/>
          <w:sz w:val="20"/>
        </w:rPr>
        <w:t>Osborne fractionation of TB01 mycelium revealed glutelin as the predominant fraction (63.48%), which exhibited the highest emulsifying activity index (759 m</w:t>
      </w:r>
      <w:r w:rsidRPr="006610E5">
        <w:rPr>
          <w:rFonts w:hint="eastAsia"/>
          <w:b w:val="0"/>
          <w:sz w:val="20"/>
          <w:vertAlign w:val="superscript"/>
          <w:lang w:eastAsia="zh-CN"/>
        </w:rPr>
        <w:t>2</w:t>
      </w:r>
      <w:r w:rsidRPr="006610E5">
        <w:rPr>
          <w:b w:val="0"/>
          <w:sz w:val="20"/>
        </w:rPr>
        <w:t>/g) among albumin, globulin, prolamin, and glutelin</w:t>
      </w:r>
      <w:r w:rsidR="006D7F39">
        <w:rPr>
          <w:rFonts w:hint="eastAsia"/>
          <w:b w:val="0"/>
          <w:sz w:val="20"/>
          <w:lang w:eastAsia="zh-CN"/>
        </w:rPr>
        <w:t xml:space="preserve"> </w:t>
      </w:r>
      <w:r w:rsidR="006D7F39">
        <w:rPr>
          <w:b w:val="0"/>
          <w:sz w:val="20"/>
        </w:rPr>
        <w:fldChar w:fldCharType="begin"/>
      </w:r>
      <w:r w:rsidR="006D7F39">
        <w:rPr>
          <w:b w:val="0"/>
          <w:sz w:val="20"/>
        </w:rPr>
        <w:instrText xml:space="preserve"> ADDIN EN.CITE &lt;EndNote&gt;&lt;Cite&gt;&lt;Author&gt;Liu&lt;/Author&gt;&lt;Year&gt;2026&lt;/Year&gt;&lt;RecNum&gt;416&lt;/RecNum&gt;&lt;DisplayText&gt;&lt;style face="superscript"&gt;1&lt;/style&gt;&lt;/DisplayText&gt;&lt;record&gt;&lt;rec-number&gt;416&lt;/rec-number&gt;&lt;foreign-keys&gt;&lt;key app="EN" db-id="eva5wtf04vsepaerdepx0xfye2tsfxz9drax" timestamp="1776850971"&gt;416&lt;/key&gt;&lt;/foreign-keys&gt;&lt;ref-type name="Journal Article"&gt;17&lt;/ref-type&gt;&lt;contributors&gt;&lt;authors&gt;&lt;author&gt;Liu, Q. C.&lt;/author&gt;&lt;author&gt;Liang, Y.&lt;/author&gt;&lt;author&gt;Li, D. M.&lt;/author&gt;&lt;author&gt;Hou, T.&lt;/author&gt;&lt;/authors&gt;&lt;/contributors&gt;&lt;titles&gt;&lt;title&gt;Structural and functional characterization of Osborne-fractionated proteins from fusarium venenatum TB01 via enzymatic-ultrasonic cell disruption extraction&lt;/title&gt;&lt;secondary-title&gt;Food Chemistry&lt;/secondary-title&gt;&lt;/titles&gt;&lt;periodical&gt;&lt;full-title&gt;Food Chemistry&lt;/full-title&gt;&lt;/periodical&gt;&lt;volume&gt;498&lt;/volume&gt;&lt;dates&gt;&lt;year&gt;2026&lt;/year&gt;&lt;pub-dates&gt;&lt;date&gt;Jan 1&lt;/date&gt;&lt;/pub-dates&gt;&lt;/dates&gt;&lt;isbn&gt;0308-8146&lt;/isbn&gt;&lt;accession-num&gt;WOS:001629446900004&lt;/accession-num&gt;&lt;urls&gt;&lt;related-urls&gt;&lt;url&gt;&amp;lt;Go to ISI&amp;gt;://WOS:001629446900004&lt;/url&gt;&lt;/related-urls&gt;&lt;/urls&gt;&lt;custom7&gt;147198&lt;/custom7&gt;&lt;electronic-resource-num&gt;10.1016/j.foodchem.2025.147198&lt;/electronic-resource-num&gt;&lt;/record&gt;&lt;/Cite&gt;&lt;/EndNote&gt;</w:instrText>
      </w:r>
      <w:r w:rsidR="006D7F39">
        <w:rPr>
          <w:b w:val="0"/>
          <w:sz w:val="20"/>
        </w:rPr>
        <w:fldChar w:fldCharType="separate"/>
      </w:r>
      <w:r w:rsidR="006D7F39" w:rsidRPr="006D7F39">
        <w:rPr>
          <w:b w:val="0"/>
          <w:noProof/>
          <w:sz w:val="20"/>
          <w:vertAlign w:val="superscript"/>
        </w:rPr>
        <w:t>1</w:t>
      </w:r>
      <w:r w:rsidR="006D7F39">
        <w:rPr>
          <w:b w:val="0"/>
          <w:sz w:val="20"/>
        </w:rPr>
        <w:fldChar w:fldCharType="end"/>
      </w:r>
      <w:r w:rsidRPr="006610E5">
        <w:rPr>
          <w:b w:val="0"/>
          <w:sz w:val="20"/>
        </w:rPr>
        <w:t xml:space="preserve">. Based on this finding, the total mycelium protein (isolated protein) was extracted using alkaline solubilization and isoelectric precipitation. Comparative emulsifying property analysis showed that the isolated protein significantly outperformed both soy protein isolate and whey protein concentrate in terms of emulsifying activity index and emulsion stability index, indicating its superior interfacial activity. To investigate the contribution of the cell wall polysaccharide, the chitin‑glucan complex was isolated </w:t>
      </w:r>
      <w:r w:rsidRPr="006D7F39">
        <w:rPr>
          <w:b w:val="0"/>
          <w:i/>
          <w:iCs/>
          <w:sz w:val="20"/>
        </w:rPr>
        <w:t>via</w:t>
      </w:r>
      <w:r w:rsidRPr="006610E5">
        <w:rPr>
          <w:b w:val="0"/>
          <w:sz w:val="20"/>
        </w:rPr>
        <w:t xml:space="preserve"> enzymatic hydrolysis, ultrasonication, and high‑pressure homogenization. Chemical composition analysis confirmed the presence of glucosamine and glucose as characteristic constituents. The isolated polysaccharide was subsequently used to prepare oil‑in‑water emulsions, and its stabilizing ability was evaluated. The polysaccharide alone exhibited moderate emulsion‑forming capacity, but the emulsions remained prone to phase separation over time.</w:t>
      </w:r>
      <w:r>
        <w:rPr>
          <w:rFonts w:hint="eastAsia"/>
          <w:b w:val="0"/>
          <w:sz w:val="20"/>
          <w:lang w:eastAsia="zh-CN"/>
        </w:rPr>
        <w:t xml:space="preserve"> </w:t>
      </w:r>
      <w:r w:rsidRPr="006610E5">
        <w:rPr>
          <w:b w:val="0"/>
          <w:sz w:val="20"/>
        </w:rPr>
        <w:t>These results demonstrate</w:t>
      </w:r>
      <w:r w:rsidR="006D7F39">
        <w:rPr>
          <w:rFonts w:hint="eastAsia"/>
          <w:b w:val="0"/>
          <w:sz w:val="20"/>
          <w:lang w:eastAsia="zh-CN"/>
        </w:rPr>
        <w:t>d</w:t>
      </w:r>
      <w:r w:rsidRPr="006610E5">
        <w:rPr>
          <w:b w:val="0"/>
          <w:sz w:val="20"/>
        </w:rPr>
        <w:t xml:space="preserve"> that while the glutelin‑rich protein possesse</w:t>
      </w:r>
      <w:r w:rsidR="006D7F39">
        <w:rPr>
          <w:rFonts w:hint="eastAsia"/>
          <w:b w:val="0"/>
          <w:sz w:val="20"/>
          <w:lang w:eastAsia="zh-CN"/>
        </w:rPr>
        <w:t>d</w:t>
      </w:r>
      <w:r w:rsidRPr="006610E5">
        <w:rPr>
          <w:b w:val="0"/>
          <w:sz w:val="20"/>
        </w:rPr>
        <w:t xml:space="preserve"> excellent emulsifying properties, the cell wall polysaccharide alone c</w:t>
      </w:r>
      <w:r w:rsidR="006D7F39">
        <w:rPr>
          <w:rFonts w:hint="eastAsia"/>
          <w:b w:val="0"/>
          <w:sz w:val="20"/>
          <w:lang w:eastAsia="zh-CN"/>
        </w:rPr>
        <w:t xml:space="preserve">ould </w:t>
      </w:r>
      <w:r w:rsidRPr="006610E5">
        <w:rPr>
          <w:b w:val="0"/>
          <w:sz w:val="20"/>
        </w:rPr>
        <w:t>not provide long‑term emulsion stability. The findings establish</w:t>
      </w:r>
      <w:r w:rsidR="006D7F39">
        <w:rPr>
          <w:rFonts w:hint="eastAsia"/>
          <w:b w:val="0"/>
          <w:sz w:val="20"/>
          <w:lang w:eastAsia="zh-CN"/>
        </w:rPr>
        <w:t>ed</w:t>
      </w:r>
      <w:r w:rsidRPr="006610E5">
        <w:rPr>
          <w:b w:val="0"/>
          <w:sz w:val="20"/>
        </w:rPr>
        <w:t xml:space="preserve"> a fundamental understanding of the roles of the two major mycelium components and provide</w:t>
      </w:r>
      <w:r w:rsidR="006D7F39">
        <w:rPr>
          <w:rFonts w:hint="eastAsia"/>
          <w:b w:val="0"/>
          <w:sz w:val="20"/>
          <w:lang w:eastAsia="zh-CN"/>
        </w:rPr>
        <w:t>d</w:t>
      </w:r>
      <w:r w:rsidRPr="006610E5">
        <w:rPr>
          <w:b w:val="0"/>
          <w:sz w:val="20"/>
        </w:rPr>
        <w:t xml:space="preserve"> a basis for further strategies</w:t>
      </w:r>
      <w:r w:rsidR="006D7F39">
        <w:rPr>
          <w:rFonts w:hint="eastAsia"/>
          <w:b w:val="0"/>
          <w:sz w:val="20"/>
          <w:lang w:eastAsia="zh-CN"/>
        </w:rPr>
        <w:t xml:space="preserve">, </w:t>
      </w:r>
      <w:r w:rsidRPr="006610E5">
        <w:rPr>
          <w:b w:val="0"/>
          <w:sz w:val="20"/>
        </w:rPr>
        <w:t>such as protein‑polysaccharide recombination</w:t>
      </w:r>
      <w:r w:rsidR="006D7F39">
        <w:rPr>
          <w:rFonts w:hint="eastAsia"/>
          <w:b w:val="0"/>
          <w:sz w:val="20"/>
          <w:lang w:eastAsia="zh-CN"/>
        </w:rPr>
        <w:t xml:space="preserve">, </w:t>
      </w:r>
      <w:r w:rsidRPr="006610E5">
        <w:rPr>
          <w:b w:val="0"/>
          <w:sz w:val="20"/>
        </w:rPr>
        <w:t xml:space="preserve">to develop stable, clean‑label sustainable protein beverages from </w:t>
      </w:r>
      <w:r w:rsidR="006D7F39" w:rsidRPr="006610E5">
        <w:rPr>
          <w:b w:val="0"/>
          <w:i/>
          <w:iCs/>
          <w:sz w:val="20"/>
        </w:rPr>
        <w:t xml:space="preserve">Fusarium </w:t>
      </w:r>
      <w:proofErr w:type="spellStart"/>
      <w:r w:rsidR="006D7F39" w:rsidRPr="006610E5">
        <w:rPr>
          <w:b w:val="0"/>
          <w:i/>
          <w:iCs/>
          <w:sz w:val="20"/>
        </w:rPr>
        <w:t>venenatum</w:t>
      </w:r>
      <w:proofErr w:type="spellEnd"/>
      <w:r w:rsidRPr="006610E5">
        <w:rPr>
          <w:b w:val="0"/>
          <w:sz w:val="20"/>
        </w:rPr>
        <w:t xml:space="preserve"> TB01.</w:t>
      </w:r>
    </w:p>
    <w:p w14:paraId="2ED92346" w14:textId="77777777" w:rsidR="006610E5" w:rsidRPr="006610E5" w:rsidRDefault="006610E5" w:rsidP="006610E5">
      <w:pPr>
        <w:pStyle w:val="Els-Abstract-head"/>
        <w:spacing w:before="120" w:after="0" w:line="240" w:lineRule="auto"/>
        <w:jc w:val="both"/>
        <w:rPr>
          <w:b w:val="0"/>
          <w:sz w:val="20"/>
        </w:rPr>
      </w:pP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3434150A" w14:textId="1F15F142" w:rsidR="006D7F39" w:rsidRDefault="006D7F39" w:rsidP="006D7F39">
      <w:pPr>
        <w:pStyle w:val="Els-keywords"/>
        <w:spacing w:after="120" w:line="240" w:lineRule="auto"/>
        <w:rPr>
          <w:sz w:val="20"/>
        </w:rPr>
      </w:pPr>
      <w:r w:rsidRPr="006D7F39">
        <w:rPr>
          <w:sz w:val="20"/>
        </w:rPr>
        <w:t>[1] Q. C.</w:t>
      </w:r>
      <w:r w:rsidRPr="006D7F39">
        <w:rPr>
          <w:rFonts w:hint="eastAsia"/>
          <w:sz w:val="20"/>
          <w:lang w:eastAsia="zh-CN"/>
        </w:rPr>
        <w:t xml:space="preserve"> </w:t>
      </w:r>
      <w:r w:rsidRPr="006D7F39">
        <w:rPr>
          <w:sz w:val="20"/>
        </w:rPr>
        <w:t>Liu, Y. Liang, D. M.</w:t>
      </w:r>
      <w:r w:rsidRPr="006D7F39">
        <w:rPr>
          <w:rFonts w:hint="eastAsia"/>
          <w:sz w:val="20"/>
          <w:lang w:eastAsia="zh-CN"/>
        </w:rPr>
        <w:t xml:space="preserve"> </w:t>
      </w:r>
      <w:r w:rsidRPr="006D7F39">
        <w:rPr>
          <w:sz w:val="20"/>
        </w:rPr>
        <w:t xml:space="preserve">Li, T Hou. Structural and functional characterization of Osborne-fractionated proteins from fusarium venenatum TB01 via enzymatic-ultrasonic cell disruption extraction. </w:t>
      </w:r>
      <w:r w:rsidRPr="006D7F39">
        <w:rPr>
          <w:iCs/>
          <w:sz w:val="20"/>
        </w:rPr>
        <w:t>Food Chem</w:t>
      </w:r>
      <w:r w:rsidRPr="006D7F39">
        <w:rPr>
          <w:rFonts w:hint="eastAsia"/>
          <w:iCs/>
          <w:sz w:val="20"/>
          <w:lang w:eastAsia="zh-CN"/>
        </w:rPr>
        <w:t xml:space="preserve">., Vol. </w:t>
      </w:r>
      <w:r w:rsidRPr="006D7F39">
        <w:rPr>
          <w:iCs/>
          <w:sz w:val="20"/>
        </w:rPr>
        <w:t>498</w:t>
      </w:r>
      <w:r w:rsidRPr="006D7F39">
        <w:rPr>
          <w:rFonts w:hint="eastAsia"/>
          <w:iCs/>
          <w:sz w:val="20"/>
          <w:lang w:eastAsia="zh-CN"/>
        </w:rPr>
        <w:t xml:space="preserve">, </w:t>
      </w:r>
      <w:r w:rsidRPr="006D7F39">
        <w:rPr>
          <w:sz w:val="20"/>
        </w:rPr>
        <w:t>2026.</w:t>
      </w:r>
    </w:p>
    <w:p w14:paraId="28926C6E" w14:textId="77777777" w:rsidR="006D7F39" w:rsidRDefault="006D7F39" w:rsidP="0078067E">
      <w:pPr>
        <w:pStyle w:val="Els-keywords"/>
        <w:spacing w:after="120" w:line="240" w:lineRule="auto"/>
        <w:rPr>
          <w:sz w:val="20"/>
        </w:rPr>
      </w:pPr>
    </w:p>
    <w:sectPr w:rsidR="006D7F39"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6143C" w14:textId="77777777" w:rsidR="00784F1E" w:rsidRDefault="00784F1E" w:rsidP="00431340">
      <w:pPr>
        <w:spacing w:after="0" w:line="240" w:lineRule="auto"/>
      </w:pPr>
      <w:r>
        <w:separator/>
      </w:r>
    </w:p>
  </w:endnote>
  <w:endnote w:type="continuationSeparator" w:id="0">
    <w:p w14:paraId="170C1648" w14:textId="77777777" w:rsidR="00784F1E" w:rsidRDefault="00784F1E"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F31A7" w14:textId="77777777" w:rsidR="00784F1E" w:rsidRDefault="00784F1E" w:rsidP="00431340">
      <w:pPr>
        <w:spacing w:after="0" w:line="240" w:lineRule="auto"/>
      </w:pPr>
      <w:r>
        <w:separator/>
      </w:r>
    </w:p>
  </w:footnote>
  <w:footnote w:type="continuationSeparator" w:id="0">
    <w:p w14:paraId="06548037" w14:textId="77777777" w:rsidR="00784F1E" w:rsidRDefault="00784F1E" w:rsidP="004313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 w:name="EN.InstantFormat" w:val="&lt;ENInstantFormat&gt;&lt;Enabled&gt;1&lt;/Enabled&gt;&lt;ScanUnformatted&gt;1&lt;/ScanUnformatted&gt;&lt;ScanChanges&gt;1&lt;/ScanChanges&gt;&lt;Suspended&gt;0&lt;/Suspended&gt;&lt;/ENInstantFormat&gt;"/>
    <w:docVar w:name="EN.Layout" w:val="&lt;ENLayout&gt;&lt;Style&gt;J Agri Food Chem&lt;/Style&gt;&lt;LeftDelim&gt;{&lt;/LeftDelim&gt;&lt;RightDelim&gt;}&lt;/RightDelim&gt;&lt;FontName&gt;Times New Roman&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va5wtf04vsepaerdepx0xfye2tsfxz9drax&quot;&gt;威尼斯镰刀菌蛋白&lt;record-ids&gt;&lt;item&gt;416&lt;/item&gt;&lt;/record-ids&gt;&lt;/item&gt;&lt;/Libraries&gt;"/>
  </w:docVars>
  <w:rsids>
    <w:rsidRoot w:val="00431340"/>
    <w:rsid w:val="001C51B3"/>
    <w:rsid w:val="00234209"/>
    <w:rsid w:val="002537DA"/>
    <w:rsid w:val="002A0A1C"/>
    <w:rsid w:val="002A2B3C"/>
    <w:rsid w:val="00372579"/>
    <w:rsid w:val="003B0ABD"/>
    <w:rsid w:val="003D47DF"/>
    <w:rsid w:val="00431340"/>
    <w:rsid w:val="004B7E87"/>
    <w:rsid w:val="004C7508"/>
    <w:rsid w:val="004D1125"/>
    <w:rsid w:val="00550891"/>
    <w:rsid w:val="0059506C"/>
    <w:rsid w:val="005B77D8"/>
    <w:rsid w:val="00646E7D"/>
    <w:rsid w:val="00654033"/>
    <w:rsid w:val="006610E5"/>
    <w:rsid w:val="00665C88"/>
    <w:rsid w:val="00673656"/>
    <w:rsid w:val="006D3652"/>
    <w:rsid w:val="006D7F39"/>
    <w:rsid w:val="006E4451"/>
    <w:rsid w:val="0070599D"/>
    <w:rsid w:val="007679DD"/>
    <w:rsid w:val="00772B06"/>
    <w:rsid w:val="007752C7"/>
    <w:rsid w:val="0078067E"/>
    <w:rsid w:val="00781D43"/>
    <w:rsid w:val="00784F1E"/>
    <w:rsid w:val="00827794"/>
    <w:rsid w:val="009C71BA"/>
    <w:rsid w:val="00A070B1"/>
    <w:rsid w:val="00B676C7"/>
    <w:rsid w:val="00BE265A"/>
    <w:rsid w:val="00BF77A7"/>
    <w:rsid w:val="00C17F75"/>
    <w:rsid w:val="00C4616B"/>
    <w:rsid w:val="00C67487"/>
    <w:rsid w:val="00C844E9"/>
    <w:rsid w:val="00CC179B"/>
    <w:rsid w:val="00D10E69"/>
    <w:rsid w:val="00D753D4"/>
    <w:rsid w:val="00DD4FF9"/>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ls-Abstract-head">
    <w:name w:val="Els-Abstract-head"/>
    <w:next w:val="a"/>
    <w:link w:val="Els-Abstract-head0"/>
    <w:rsid w:val="00431340"/>
    <w:pPr>
      <w:keepNext/>
      <w:pBdr>
        <w:top w:val="single" w:sz="4" w:space="10" w:color="auto"/>
      </w:pBdr>
      <w:suppressAutoHyphens/>
      <w:spacing w:after="220" w:line="220" w:lineRule="exact"/>
    </w:pPr>
    <w:rPr>
      <w:rFonts w:ascii="Times New Roman" w:eastAsia="宋体" w:hAnsi="Times New Roman" w:cs="Times New Roman"/>
      <w:b/>
      <w:sz w:val="18"/>
      <w:szCs w:val="20"/>
      <w:lang w:val="en-US"/>
    </w:rPr>
  </w:style>
  <w:style w:type="paragraph" w:customStyle="1" w:styleId="Els-Abstract-text">
    <w:name w:val="Els-Abstract-text"/>
    <w:next w:val="a"/>
    <w:rsid w:val="00431340"/>
    <w:pPr>
      <w:spacing w:after="0" w:line="220" w:lineRule="exact"/>
      <w:jc w:val="both"/>
    </w:pPr>
    <w:rPr>
      <w:rFonts w:ascii="Times New Roman" w:eastAsia="宋体"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宋体" w:hAnsi="Times New Roman" w:cs="Times New Roman"/>
      <w:i/>
      <w:noProof/>
      <w:sz w:val="16"/>
      <w:szCs w:val="20"/>
      <w:lang w:val="en-US"/>
    </w:rPr>
  </w:style>
  <w:style w:type="paragraph" w:customStyle="1" w:styleId="Els-Author">
    <w:name w:val="Els-Author"/>
    <w:next w:val="a"/>
    <w:rsid w:val="00431340"/>
    <w:pPr>
      <w:keepNext/>
      <w:suppressAutoHyphens/>
      <w:spacing w:line="300" w:lineRule="exact"/>
      <w:jc w:val="center"/>
    </w:pPr>
    <w:rPr>
      <w:rFonts w:ascii="Times New Roman" w:eastAsia="宋体"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宋体"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宋体"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宋体" w:hAnsi="Times New Roman" w:cs="Times New Roman"/>
      <w:sz w:val="24"/>
      <w:szCs w:val="20"/>
      <w:lang w:val="en-US"/>
    </w:rPr>
  </w:style>
  <w:style w:type="paragraph" w:customStyle="1" w:styleId="Els-1storder-head">
    <w:name w:val="Els-1storder-head"/>
    <w:next w:val="a"/>
    <w:rsid w:val="00431340"/>
    <w:pPr>
      <w:keepNext/>
      <w:numPr>
        <w:numId w:val="1"/>
      </w:numPr>
      <w:suppressAutoHyphens/>
      <w:spacing w:before="240" w:after="240" w:line="240" w:lineRule="exact"/>
    </w:pPr>
    <w:rPr>
      <w:rFonts w:ascii="Times New Roman" w:eastAsia="宋体" w:hAnsi="Times New Roman" w:cs="Times New Roman"/>
      <w:b/>
      <w:sz w:val="20"/>
      <w:szCs w:val="20"/>
      <w:lang w:val="en-US"/>
    </w:rPr>
  </w:style>
  <w:style w:type="paragraph" w:customStyle="1" w:styleId="Els-2ndorder-head">
    <w:name w:val="Els-2ndorder-head"/>
    <w:next w:val="a"/>
    <w:rsid w:val="00431340"/>
    <w:pPr>
      <w:keepNext/>
      <w:numPr>
        <w:ilvl w:val="1"/>
        <w:numId w:val="1"/>
      </w:numPr>
      <w:suppressAutoHyphens/>
      <w:spacing w:before="240" w:after="240" w:line="240" w:lineRule="exact"/>
    </w:pPr>
    <w:rPr>
      <w:rFonts w:ascii="Times New Roman" w:eastAsia="宋体" w:hAnsi="Times New Roman" w:cs="Times New Roman"/>
      <w:i/>
      <w:sz w:val="20"/>
      <w:szCs w:val="20"/>
      <w:lang w:val="en-US"/>
    </w:rPr>
  </w:style>
  <w:style w:type="paragraph" w:customStyle="1" w:styleId="Els-3rdorder-head">
    <w:name w:val="Els-3rdorder-head"/>
    <w:next w:val="a"/>
    <w:rsid w:val="00431340"/>
    <w:pPr>
      <w:keepNext/>
      <w:numPr>
        <w:ilvl w:val="2"/>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4thorder-head">
    <w:name w:val="Els-4thorder-head"/>
    <w:next w:val="a"/>
    <w:rsid w:val="00431340"/>
    <w:pPr>
      <w:keepNext/>
      <w:numPr>
        <w:ilvl w:val="3"/>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keywords">
    <w:name w:val="Els-keywords"/>
    <w:next w:val="a"/>
    <w:rsid w:val="00431340"/>
    <w:pPr>
      <w:pBdr>
        <w:bottom w:val="single" w:sz="4" w:space="10" w:color="auto"/>
      </w:pBdr>
      <w:spacing w:after="200" w:line="200" w:lineRule="exact"/>
    </w:pPr>
    <w:rPr>
      <w:rFonts w:ascii="Times New Roman" w:eastAsia="宋体" w:hAnsi="Times New Roman" w:cs="Times New Roman"/>
      <w:noProof/>
      <w:sz w:val="16"/>
      <w:szCs w:val="20"/>
      <w:lang w:val="en-US"/>
    </w:rPr>
  </w:style>
  <w:style w:type="paragraph" w:styleId="a3">
    <w:name w:val="header"/>
    <w:basedOn w:val="a"/>
    <w:link w:val="a4"/>
    <w:uiPriority w:val="99"/>
    <w:unhideWhenUsed/>
    <w:rsid w:val="00D10E69"/>
    <w:pPr>
      <w:tabs>
        <w:tab w:val="center" w:pos="4513"/>
        <w:tab w:val="right" w:pos="9026"/>
      </w:tabs>
      <w:spacing w:after="0" w:line="240" w:lineRule="auto"/>
    </w:pPr>
  </w:style>
  <w:style w:type="character" w:customStyle="1" w:styleId="a4">
    <w:name w:val="页眉 字符"/>
    <w:basedOn w:val="a0"/>
    <w:link w:val="a3"/>
    <w:uiPriority w:val="99"/>
    <w:rsid w:val="00D10E69"/>
  </w:style>
  <w:style w:type="paragraph" w:styleId="a5">
    <w:name w:val="footer"/>
    <w:basedOn w:val="a"/>
    <w:link w:val="a6"/>
    <w:uiPriority w:val="99"/>
    <w:unhideWhenUsed/>
    <w:rsid w:val="00D10E69"/>
    <w:pPr>
      <w:tabs>
        <w:tab w:val="center" w:pos="4513"/>
        <w:tab w:val="right" w:pos="9026"/>
      </w:tabs>
      <w:spacing w:after="0" w:line="240" w:lineRule="auto"/>
    </w:pPr>
  </w:style>
  <w:style w:type="character" w:customStyle="1" w:styleId="a6">
    <w:name w:val="页脚 字符"/>
    <w:basedOn w:val="a0"/>
    <w:link w:val="a5"/>
    <w:uiPriority w:val="99"/>
    <w:rsid w:val="00D10E69"/>
  </w:style>
  <w:style w:type="paragraph" w:customStyle="1" w:styleId="EndNoteBibliographyTitle">
    <w:name w:val="EndNote Bibliography Title"/>
    <w:basedOn w:val="a"/>
    <w:link w:val="EndNoteBibliographyTitle0"/>
    <w:rsid w:val="006D7F39"/>
    <w:pPr>
      <w:spacing w:after="0"/>
      <w:jc w:val="center"/>
    </w:pPr>
    <w:rPr>
      <w:rFonts w:ascii="Times New Roman" w:hAnsi="Times New Roman" w:cs="Times New Roman"/>
      <w:noProof/>
      <w:sz w:val="16"/>
      <w:lang w:val="en-US"/>
    </w:rPr>
  </w:style>
  <w:style w:type="character" w:customStyle="1" w:styleId="Els-Abstract-head0">
    <w:name w:val="Els-Abstract-head 字符"/>
    <w:basedOn w:val="a0"/>
    <w:link w:val="Els-Abstract-head"/>
    <w:rsid w:val="006D7F39"/>
    <w:rPr>
      <w:rFonts w:ascii="Times New Roman" w:eastAsia="宋体" w:hAnsi="Times New Roman" w:cs="Times New Roman"/>
      <w:b/>
      <w:sz w:val="18"/>
      <w:szCs w:val="20"/>
      <w:lang w:val="en-US"/>
    </w:rPr>
  </w:style>
  <w:style w:type="character" w:customStyle="1" w:styleId="EndNoteBibliographyTitle0">
    <w:name w:val="EndNote Bibliography Title 字符"/>
    <w:basedOn w:val="Els-Abstract-head0"/>
    <w:link w:val="EndNoteBibliographyTitle"/>
    <w:rsid w:val="006D7F39"/>
    <w:rPr>
      <w:rFonts w:ascii="Times New Roman" w:eastAsia="宋体" w:hAnsi="Times New Roman" w:cs="Times New Roman"/>
      <w:b w:val="0"/>
      <w:noProof/>
      <w:sz w:val="16"/>
      <w:szCs w:val="20"/>
      <w:lang w:val="en-US"/>
    </w:rPr>
  </w:style>
  <w:style w:type="paragraph" w:customStyle="1" w:styleId="EndNoteBibliography">
    <w:name w:val="EndNote Bibliography"/>
    <w:basedOn w:val="a"/>
    <w:link w:val="EndNoteBibliography0"/>
    <w:rsid w:val="006D7F39"/>
    <w:pPr>
      <w:spacing w:line="240" w:lineRule="auto"/>
    </w:pPr>
    <w:rPr>
      <w:rFonts w:ascii="Times New Roman" w:hAnsi="Times New Roman" w:cs="Times New Roman"/>
      <w:noProof/>
      <w:sz w:val="16"/>
      <w:lang w:val="en-US"/>
    </w:rPr>
  </w:style>
  <w:style w:type="character" w:customStyle="1" w:styleId="EndNoteBibliography0">
    <w:name w:val="EndNote Bibliography 字符"/>
    <w:basedOn w:val="Els-Abstract-head0"/>
    <w:link w:val="EndNoteBibliography"/>
    <w:rsid w:val="006D7F39"/>
    <w:rPr>
      <w:rFonts w:ascii="Times New Roman" w:eastAsia="宋体" w:hAnsi="Times New Roman" w:cs="Times New Roman"/>
      <w:b w:val="0"/>
      <w:noProof/>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Props1.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2.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4.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docProps/app.xml><?xml version="1.0" encoding="utf-8"?>
<Properties xmlns="http://schemas.openxmlformats.org/officeDocument/2006/extended-properties" xmlns:vt="http://schemas.openxmlformats.org/officeDocument/2006/docPropsVTypes">
  <Template>Normal</Template>
  <TotalTime>985</TotalTime>
  <Pages>1</Pages>
  <Words>525</Words>
  <Characters>3537</Characters>
  <Application>Microsoft Office Word</Application>
  <DocSecurity>0</DocSecurity>
  <Lines>52</Lines>
  <Paragraphs>16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Qiaocui Liu</cp:lastModifiedBy>
  <cp:revision>5</cp:revision>
  <dcterms:created xsi:type="dcterms:W3CDTF">2026-02-04T06:37:00Z</dcterms:created>
  <dcterms:modified xsi:type="dcterms:W3CDTF">2026-04-22T09:58:00Z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