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6A75" w14:textId="28F84F97" w:rsidR="00431340" w:rsidRDefault="00D753D4" w:rsidP="00BF77A7">
      <w:pPr>
        <w:pStyle w:val="DocHead"/>
        <w:spacing w:before="0" w:after="0"/>
        <w:ind w:left="-119" w:right="-136" w:firstLine="119"/>
      </w:pPr>
      <w:r>
        <w:t>SIFF</w:t>
      </w:r>
      <w:r w:rsidR="00BF77A7">
        <w:t xml:space="preserve"> 2026</w:t>
      </w:r>
    </w:p>
    <w:p w14:paraId="2641CBEB" w14:textId="0714D6BB" w:rsidR="00431340" w:rsidRDefault="004D1125" w:rsidP="00BF77A7">
      <w:pPr>
        <w:pStyle w:val="DocHead"/>
        <w:spacing w:before="0" w:after="0"/>
        <w:ind w:left="-119" w:right="-136" w:firstLine="119"/>
      </w:pPr>
      <w:r>
        <w:t>Singapore International Food Forum 2026</w:t>
      </w:r>
      <w:r w:rsidR="00C17F75">
        <w:br/>
      </w:r>
    </w:p>
    <w:p w14:paraId="4538BFCD" w14:textId="065E965D" w:rsidR="00431340" w:rsidRPr="00C67487" w:rsidRDefault="00DC7B54" w:rsidP="00DC7B54">
      <w:pPr>
        <w:pStyle w:val="Els-Title"/>
      </w:pPr>
      <w:r>
        <w:t>M</w:t>
      </w:r>
      <w:r w:rsidRPr="00DC7B54">
        <w:t>icroalgae</w:t>
      </w:r>
      <w:r>
        <w:t xml:space="preserve"> as M</w:t>
      </w:r>
      <w:r w:rsidRPr="00DC7B54">
        <w:t xml:space="preserve">ore </w:t>
      </w:r>
      <w:r>
        <w:t>S</w:t>
      </w:r>
      <w:r w:rsidRPr="00DC7B54">
        <w:t xml:space="preserve">ustainable and </w:t>
      </w:r>
      <w:r>
        <w:t>A</w:t>
      </w:r>
      <w:r w:rsidRPr="00DC7B54">
        <w:t>ffordable</w:t>
      </w:r>
      <w:r>
        <w:t xml:space="preserve"> Mineral S</w:t>
      </w:r>
      <w:r w:rsidRPr="00DC7B54">
        <w:t>ources for Human Nutrition and Health</w:t>
      </w:r>
      <w:r>
        <w:t xml:space="preserve">: </w:t>
      </w:r>
      <w:proofErr w:type="spellStart"/>
      <w:r w:rsidRPr="00DC7B54">
        <w:t>Bioaccessibility</w:t>
      </w:r>
      <w:proofErr w:type="spellEnd"/>
      <w:r w:rsidRPr="00DC7B54">
        <w:t xml:space="preserve"> and </w:t>
      </w:r>
      <w:r>
        <w:t>B</w:t>
      </w:r>
      <w:r w:rsidRPr="00DC7B54">
        <w:t xml:space="preserve">ioavailability </w:t>
      </w:r>
      <w:r>
        <w:t>A</w:t>
      </w:r>
      <w:r w:rsidRPr="00DC7B54">
        <w:t>ssessment</w:t>
      </w:r>
    </w:p>
    <w:p w14:paraId="31CD493F" w14:textId="45794757" w:rsidR="004C4D59" w:rsidRPr="00C3169F" w:rsidRDefault="004C4D59" w:rsidP="004C4D59">
      <w:pPr>
        <w:pStyle w:val="Els-Author"/>
        <w:ind w:right="2"/>
        <w:rPr>
          <w:sz w:val="24"/>
          <w:szCs w:val="24"/>
        </w:rPr>
      </w:pPr>
      <w:r w:rsidRPr="00C3169F">
        <w:rPr>
          <w:sz w:val="24"/>
          <w:szCs w:val="24"/>
        </w:rPr>
        <w:t>F. Gao</w:t>
      </w:r>
      <w:r w:rsidRPr="00C3169F">
        <w:rPr>
          <w:sz w:val="24"/>
          <w:szCs w:val="24"/>
          <w:vertAlign w:val="superscript"/>
        </w:rPr>
        <w:t>a,b</w:t>
      </w:r>
      <w:r w:rsidRPr="009C71BA">
        <w:rPr>
          <w:sz w:val="24"/>
          <w:szCs w:val="24"/>
          <w:vertAlign w:val="superscript"/>
        </w:rPr>
        <w:footnoteReference w:id="1"/>
      </w:r>
      <w:r w:rsidRPr="00C3169F">
        <w:rPr>
          <w:sz w:val="24"/>
          <w:szCs w:val="24"/>
        </w:rPr>
        <w:t xml:space="preserve">, </w:t>
      </w:r>
      <w:r w:rsidR="00C3169F" w:rsidRPr="00C3169F">
        <w:rPr>
          <w:sz w:val="24"/>
          <w:szCs w:val="24"/>
        </w:rPr>
        <w:t>A. Mathys</w:t>
      </w:r>
      <w:r w:rsidR="00C3169F" w:rsidRPr="00C3169F">
        <w:rPr>
          <w:rFonts w:hint="eastAsia"/>
          <w:sz w:val="24"/>
          <w:szCs w:val="24"/>
          <w:vertAlign w:val="superscript"/>
          <w:lang w:eastAsia="zh-CN"/>
        </w:rPr>
        <w:t>b</w:t>
      </w:r>
      <w:r w:rsidR="00C3169F" w:rsidRPr="00C3169F">
        <w:rPr>
          <w:sz w:val="24"/>
          <w:szCs w:val="24"/>
        </w:rPr>
        <w:t xml:space="preserve">, </w:t>
      </w:r>
      <w:r w:rsidRPr="00C3169F">
        <w:rPr>
          <w:sz w:val="24"/>
          <w:szCs w:val="24"/>
        </w:rPr>
        <w:t>F. von Meyenn</w:t>
      </w:r>
      <w:r w:rsidR="00C3169F" w:rsidRPr="00C3169F">
        <w:rPr>
          <w:rFonts w:hint="eastAsia"/>
          <w:sz w:val="24"/>
          <w:szCs w:val="24"/>
          <w:vertAlign w:val="superscript"/>
          <w:lang w:eastAsia="zh-CN"/>
        </w:rPr>
        <w:t>a</w:t>
      </w:r>
      <w:r w:rsidRPr="00C3169F">
        <w:rPr>
          <w:sz w:val="24"/>
          <w:szCs w:val="24"/>
        </w:rPr>
        <w:t xml:space="preserve"> </w:t>
      </w:r>
    </w:p>
    <w:p w14:paraId="5342D5C1" w14:textId="221BB0DE" w:rsidR="00673656" w:rsidRPr="00C3169F" w:rsidRDefault="00673656" w:rsidP="00C3169F">
      <w:pPr>
        <w:pStyle w:val="Els-Author"/>
        <w:ind w:right="2"/>
        <w:jc w:val="left"/>
        <w:rPr>
          <w:sz w:val="28"/>
          <w:szCs w:val="28"/>
        </w:rPr>
        <w:sectPr w:rsidR="00673656" w:rsidRPr="00C3169F" w:rsidSect="0043134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numFmt w:val="chicago"/>
          </w:footnotePr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52CE03F" w14:textId="5756AF72" w:rsidR="00431340" w:rsidRPr="00234209" w:rsidRDefault="004C7508" w:rsidP="00234209">
      <w:pPr>
        <w:pStyle w:val="Els-Affiliation"/>
        <w:rPr>
          <w:iCs/>
        </w:rPr>
      </w:pPr>
      <w:r w:rsidRPr="00DC7B54">
        <w:rPr>
          <w:vertAlign w:val="superscript"/>
        </w:rPr>
        <w:t>a</w:t>
      </w:r>
      <w:r w:rsidRPr="00DC7B54">
        <w:t xml:space="preserve"> </w:t>
      </w:r>
      <w:r w:rsidR="00C3169F" w:rsidRPr="004C4D59">
        <w:t>Laboratory of Nutrition and Metabolic Epigenetics, Institute of Food, Nutrition and Health, ETH Zurich, Schorenstrasse 16, Schwerzenbach, 8603, Switzerland</w:t>
      </w:r>
      <w:r w:rsidR="00C3169F" w:rsidRPr="004C4D59">
        <w:t xml:space="preserve"> </w:t>
      </w:r>
    </w:p>
    <w:p w14:paraId="05A3C6FA" w14:textId="33958B19" w:rsidR="00431340" w:rsidRDefault="00234209" w:rsidP="00431340">
      <w:pPr>
        <w:pStyle w:val="Els-Affiliation"/>
        <w:spacing w:after="400"/>
        <w:rPr>
          <w:lang w:eastAsia="zh-CN"/>
        </w:rPr>
      </w:pPr>
      <w:r w:rsidRPr="00DC7B54">
        <w:rPr>
          <w:vertAlign w:val="superscript"/>
        </w:rPr>
        <w:t>b</w:t>
      </w:r>
      <w:r w:rsidRPr="00DC7B54">
        <w:t xml:space="preserve"> </w:t>
      </w:r>
      <w:r w:rsidR="00C3169F" w:rsidRPr="004C4D59">
        <w:t>Sustainable Food Processing Laboratory, Institute of Food Nutrition and Health, ETH Zurich, Schmelzbergstrasse 9, Zurich, 8092, Switzerland</w:t>
      </w:r>
    </w:p>
    <w:p w14:paraId="7715227C" w14:textId="77777777" w:rsidR="00431340" w:rsidRPr="00BF77A7" w:rsidRDefault="00431340" w:rsidP="00665C88">
      <w:pPr>
        <w:pStyle w:val="Els-Abstract-head"/>
        <w:spacing w:before="120" w:after="0" w:line="240" w:lineRule="auto"/>
        <w:rPr>
          <w:sz w:val="20"/>
        </w:rPr>
      </w:pPr>
      <w:r w:rsidRPr="00BF77A7">
        <w:rPr>
          <w:sz w:val="20"/>
        </w:rPr>
        <w:t>Abstract</w:t>
      </w:r>
    </w:p>
    <w:p w14:paraId="3CA20996" w14:textId="6943C41E" w:rsidR="004C4D59" w:rsidRPr="004C4D59" w:rsidRDefault="004C4D59" w:rsidP="00BC6010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0"/>
          <w:szCs w:val="20"/>
          <w:lang w:val="en-US"/>
        </w:rPr>
      </w:pPr>
      <w:r w:rsidRPr="004C4D59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Micronutrient deficiency, especially mineral deficiency, is a widespread global health problem, primarily driven by inadequate dietary intake, which affects more than 5 billion people worldwide. Microalgae-derived minerals </w:t>
      </w:r>
      <w:proofErr w:type="gramStart"/>
      <w:r w:rsidRPr="004C4D59">
        <w:rPr>
          <w:rFonts w:ascii="Times New Roman" w:eastAsia="SimSun" w:hAnsi="Times New Roman" w:cs="Times New Roman"/>
          <w:sz w:val="20"/>
          <w:szCs w:val="20"/>
          <w:lang w:val="en-US"/>
        </w:rPr>
        <w:t>are emerging</w:t>
      </w:r>
      <w:proofErr w:type="gramEnd"/>
      <w:r w:rsidRPr="004C4D59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as sustainable nutrient sources for humans; however, knowledge of their </w:t>
      </w:r>
      <w:proofErr w:type="spellStart"/>
      <w:r w:rsidRPr="004C4D59">
        <w:rPr>
          <w:rFonts w:ascii="Times New Roman" w:eastAsia="SimSun" w:hAnsi="Times New Roman" w:cs="Times New Roman"/>
          <w:sz w:val="20"/>
          <w:szCs w:val="20"/>
          <w:lang w:val="en-US"/>
        </w:rPr>
        <w:t>bioaccessibility</w:t>
      </w:r>
      <w:proofErr w:type="spellEnd"/>
      <w:r w:rsidRPr="004C4D59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and bioavailability remains limited. In this </w:t>
      </w:r>
      <w:r w:rsidR="002C5B93">
        <w:rPr>
          <w:rFonts w:ascii="Times New Roman" w:eastAsia="SimSun" w:hAnsi="Times New Roman" w:cs="Times New Roman"/>
          <w:sz w:val="20"/>
          <w:szCs w:val="20"/>
          <w:lang w:val="en-US"/>
        </w:rPr>
        <w:t>project</w:t>
      </w:r>
      <w:r w:rsidRPr="004C4D59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, 9 different microalgal biomass produced by industry were analyzed in mineral (Fe, Ca, Zn, Mg, Cu, Mn, P, K) </w:t>
      </w:r>
      <w:proofErr w:type="spellStart"/>
      <w:r w:rsidRPr="004C4D59">
        <w:rPr>
          <w:rFonts w:ascii="Times New Roman" w:eastAsia="SimSun" w:hAnsi="Times New Roman" w:cs="Times New Roman"/>
          <w:sz w:val="20"/>
          <w:szCs w:val="20"/>
          <w:lang w:val="en-US"/>
        </w:rPr>
        <w:t>bioaccessibility</w:t>
      </w:r>
      <w:proofErr w:type="spellEnd"/>
      <w:r w:rsidRPr="004C4D59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, including </w:t>
      </w:r>
      <w:proofErr w:type="spellStart"/>
      <w:r w:rsidR="00C3169F" w:rsidRPr="00C3169F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>Limnospira</w:t>
      </w:r>
      <w:proofErr w:type="spellEnd"/>
      <w:r w:rsidR="00C3169F">
        <w:rPr>
          <w:rFonts w:ascii="Times New Roman" w:eastAsia="SimSun" w:hAnsi="Times New Roman" w:cs="Times New Roman" w:hint="eastAsia"/>
          <w:i/>
          <w:iCs/>
          <w:sz w:val="20"/>
          <w:szCs w:val="20"/>
          <w:lang w:val="en-US" w:eastAsia="zh-CN"/>
        </w:rPr>
        <w:t xml:space="preserve"> </w:t>
      </w:r>
      <w:r w:rsidRPr="002C5B93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>platensis</w:t>
      </w:r>
      <w:r w:rsidRPr="004C4D59">
        <w:rPr>
          <w:rFonts w:ascii="Times New Roman" w:eastAsia="SimSun" w:hAnsi="Times New Roman" w:cs="Times New Roman"/>
          <w:sz w:val="20"/>
          <w:szCs w:val="20"/>
          <w:lang w:val="en-US"/>
        </w:rPr>
        <w:t>,</w:t>
      </w:r>
      <w:r w:rsidRPr="002C5B93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 xml:space="preserve"> Chlorella vulgaris</w:t>
      </w:r>
      <w:r w:rsidRPr="004C4D59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(green, yellow, and white), </w:t>
      </w:r>
      <w:proofErr w:type="spellStart"/>
      <w:r w:rsidRPr="002C5B93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>Tetraselmis</w:t>
      </w:r>
      <w:proofErr w:type="spellEnd"/>
      <w:r w:rsidRPr="002C5B93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2C5B93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>chuii</w:t>
      </w:r>
      <w:proofErr w:type="spellEnd"/>
      <w:r w:rsidRPr="004C4D59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2C5B93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>Nannochloropsis</w:t>
      </w:r>
      <w:proofErr w:type="spellEnd"/>
      <w:r w:rsidRPr="002C5B93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 xml:space="preserve"> oceanica</w:t>
      </w:r>
      <w:r w:rsidRPr="004C4D59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2C5B93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>Haematococcus</w:t>
      </w:r>
      <w:proofErr w:type="spellEnd"/>
      <w:r w:rsidRPr="002C5B93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2C5B93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>pluvialis</w:t>
      </w:r>
      <w:proofErr w:type="spellEnd"/>
      <w:r w:rsidRPr="004C4D59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(</w:t>
      </w:r>
      <w:proofErr w:type="spellStart"/>
      <w:r w:rsidRPr="004C4D59">
        <w:rPr>
          <w:rFonts w:ascii="Times New Roman" w:eastAsia="SimSun" w:hAnsi="Times New Roman" w:cs="Times New Roman"/>
          <w:sz w:val="20"/>
          <w:szCs w:val="20"/>
          <w:lang w:val="en-US"/>
        </w:rPr>
        <w:t>unlysed</w:t>
      </w:r>
      <w:proofErr w:type="spellEnd"/>
      <w:r w:rsidRPr="004C4D59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and lysed), and </w:t>
      </w:r>
      <w:proofErr w:type="spellStart"/>
      <w:r w:rsidRPr="002C5B93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>Dunaliella</w:t>
      </w:r>
      <w:proofErr w:type="spellEnd"/>
      <w:r w:rsidRPr="002C5B93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 xml:space="preserve"> salina</w:t>
      </w:r>
      <w:r w:rsidRPr="004C4D59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. In addition, </w:t>
      </w:r>
      <w:r w:rsidR="002C5B93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3 microalgae </w:t>
      </w:r>
      <w:r w:rsidR="00564637">
        <w:rPr>
          <w:rFonts w:ascii="Times New Roman" w:eastAsia="SimSun" w:hAnsi="Times New Roman" w:cs="Times New Roman"/>
          <w:sz w:val="20"/>
          <w:szCs w:val="20"/>
          <w:lang w:val="en-US"/>
        </w:rPr>
        <w:t>(</w:t>
      </w:r>
      <w:r w:rsidR="00C3169F">
        <w:rPr>
          <w:rFonts w:ascii="Times New Roman" w:eastAsia="SimSun" w:hAnsi="Times New Roman" w:cs="Times New Roman" w:hint="eastAsia"/>
          <w:i/>
          <w:iCs/>
          <w:sz w:val="20"/>
          <w:szCs w:val="20"/>
          <w:lang w:val="en-US" w:eastAsia="zh-CN"/>
        </w:rPr>
        <w:t>L</w:t>
      </w:r>
      <w:r w:rsidR="00564637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>.</w:t>
      </w:r>
      <w:r w:rsidR="00564637" w:rsidRPr="002C5B93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 xml:space="preserve"> platensis</w:t>
      </w:r>
      <w:r w:rsidR="00564637" w:rsidRPr="004C4D59">
        <w:rPr>
          <w:rFonts w:ascii="Times New Roman" w:eastAsia="SimSun" w:hAnsi="Times New Roman" w:cs="Times New Roman"/>
          <w:sz w:val="20"/>
          <w:szCs w:val="20"/>
          <w:lang w:val="en-US"/>
        </w:rPr>
        <w:t>,</w:t>
      </w:r>
      <w:r w:rsidR="00564637" w:rsidRPr="002C5B93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 xml:space="preserve"> C</w:t>
      </w:r>
      <w:r w:rsidR="00564637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>.</w:t>
      </w:r>
      <w:r w:rsidR="00564637" w:rsidRPr="002C5B93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 xml:space="preserve"> vulgaris</w:t>
      </w:r>
      <w:r w:rsidR="00564637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and </w:t>
      </w:r>
      <w:bookmarkStart w:id="0" w:name="OLE_LINK1"/>
      <w:proofErr w:type="spellStart"/>
      <w:r w:rsidR="00564637" w:rsidRPr="00564637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>Galdieria</w:t>
      </w:r>
      <w:bookmarkEnd w:id="0"/>
      <w:proofErr w:type="spellEnd"/>
      <w:r w:rsidR="00564637" w:rsidRPr="00564637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="00C3169F" w:rsidRPr="00C3169F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>yellowstonensis</w:t>
      </w:r>
      <w:proofErr w:type="spellEnd"/>
      <w:r w:rsidR="00564637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) </w:t>
      </w:r>
      <w:r w:rsidR="002C5B93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were </w:t>
      </w:r>
      <w:r w:rsidR="00464A63" w:rsidRPr="004C4D59">
        <w:rPr>
          <w:rFonts w:ascii="Times New Roman" w:eastAsia="SimSun" w:hAnsi="Times New Roman" w:cs="Times New Roman"/>
          <w:sz w:val="20"/>
          <w:szCs w:val="20"/>
          <w:lang w:val="en-US"/>
        </w:rPr>
        <w:t>produced in the laboratory under autotrophic, heterotrophic, and mixotrophic conditions</w:t>
      </w:r>
      <w:r w:rsidR="00464A63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and with different iron concentrations</w:t>
      </w:r>
      <w:r w:rsidR="00464A63" w:rsidRPr="004C4D59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to understand the effect of production modes </w:t>
      </w:r>
      <w:r w:rsidR="00464A63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and iron enrichment </w:t>
      </w:r>
      <w:r w:rsidR="00464A63" w:rsidRPr="004C4D59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on mineral </w:t>
      </w:r>
      <w:proofErr w:type="spellStart"/>
      <w:r w:rsidR="00464A63" w:rsidRPr="004C4D59">
        <w:rPr>
          <w:rFonts w:ascii="Times New Roman" w:eastAsia="SimSun" w:hAnsi="Times New Roman" w:cs="Times New Roman"/>
          <w:sz w:val="20"/>
          <w:szCs w:val="20"/>
          <w:lang w:val="en-US"/>
        </w:rPr>
        <w:t>bioaccessibility</w:t>
      </w:r>
      <w:proofErr w:type="spellEnd"/>
      <w:r w:rsidR="00464A63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and accumulation</w:t>
      </w:r>
      <w:r w:rsidR="00464A63" w:rsidRPr="004C4D59">
        <w:rPr>
          <w:rFonts w:ascii="Times New Roman" w:eastAsia="SimSun" w:hAnsi="Times New Roman" w:cs="Times New Roman"/>
          <w:sz w:val="20"/>
          <w:szCs w:val="20"/>
          <w:lang w:val="en-US"/>
        </w:rPr>
        <w:t>. Following, a case study about iron bioavailability was carried out with different microalgae using polarized human intestinal epithelial cells.</w:t>
      </w:r>
    </w:p>
    <w:p w14:paraId="7687299F" w14:textId="2B737735" w:rsidR="007679DD" w:rsidRPr="00EA27C0" w:rsidRDefault="004C4D59" w:rsidP="00C203EC">
      <w:pPr>
        <w:spacing w:before="80" w:after="80" w:line="240" w:lineRule="auto"/>
        <w:jc w:val="both"/>
        <w:rPr>
          <w:rFonts w:ascii="Times New Roman" w:eastAsia="SimSun" w:hAnsi="Times New Roman" w:cs="Times New Roman" w:hint="eastAsia"/>
          <w:sz w:val="20"/>
          <w:szCs w:val="20"/>
          <w:lang w:val="en-US" w:eastAsia="zh-CN"/>
        </w:rPr>
      </w:pPr>
      <w:r w:rsidRPr="004C4D59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Total mineral content </w:t>
      </w:r>
      <w:r w:rsidR="00BC6010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of </w:t>
      </w:r>
      <w:r w:rsidR="00C203EC" w:rsidRPr="00C203EC">
        <w:rPr>
          <w:rFonts w:ascii="Times New Roman" w:eastAsia="SimSun" w:hAnsi="Times New Roman" w:cs="Times New Roman"/>
          <w:sz w:val="20"/>
          <w:szCs w:val="20"/>
          <w:lang w:val="en-US"/>
        </w:rPr>
        <w:t>industrially</w:t>
      </w:r>
      <w:r w:rsidR="00BC6010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produced biomass </w:t>
      </w:r>
      <w:r w:rsidRPr="004C4D59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varied notably (Fe, 72.1-3120.9 mg/kg; Ca, 517.9-24146.3 mg/kg; Zn, 12.1-282.1 mg/kg; Mg, 379.2-15245.9 mg/kg). Mineral </w:t>
      </w:r>
      <w:proofErr w:type="spellStart"/>
      <w:r w:rsidRPr="004C4D59">
        <w:rPr>
          <w:rFonts w:ascii="Times New Roman" w:eastAsia="SimSun" w:hAnsi="Times New Roman" w:cs="Times New Roman"/>
          <w:sz w:val="20"/>
          <w:szCs w:val="20"/>
          <w:lang w:val="en-US"/>
        </w:rPr>
        <w:t>bioaccessibility</w:t>
      </w:r>
      <w:proofErr w:type="spellEnd"/>
      <w:r w:rsidRPr="004C4D59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exhibited wide variability; for instance, Fe </w:t>
      </w:r>
      <w:proofErr w:type="spellStart"/>
      <w:r w:rsidRPr="004C4D59">
        <w:rPr>
          <w:rFonts w:ascii="Times New Roman" w:eastAsia="SimSun" w:hAnsi="Times New Roman" w:cs="Times New Roman"/>
          <w:sz w:val="20"/>
          <w:szCs w:val="20"/>
          <w:lang w:val="en-US"/>
        </w:rPr>
        <w:t>bioaccessibility</w:t>
      </w:r>
      <w:proofErr w:type="spellEnd"/>
      <w:r w:rsidRPr="004C4D59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ranged from 0.5% in </w:t>
      </w:r>
      <w:r w:rsidRPr="00BC6010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 xml:space="preserve">T. </w:t>
      </w:r>
      <w:proofErr w:type="spellStart"/>
      <w:r w:rsidRPr="00BC6010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>chuii</w:t>
      </w:r>
      <w:proofErr w:type="spellEnd"/>
      <w:r w:rsidRPr="004C4D59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to 83.4% in </w:t>
      </w:r>
      <w:r w:rsidRPr="00BC6010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>C. vulgaris</w:t>
      </w:r>
      <w:r w:rsidRPr="004C4D59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green. The </w:t>
      </w:r>
      <w:proofErr w:type="spellStart"/>
      <w:r w:rsidRPr="004C4D59">
        <w:rPr>
          <w:rFonts w:ascii="Times New Roman" w:eastAsia="SimSun" w:hAnsi="Times New Roman" w:cs="Times New Roman"/>
          <w:sz w:val="20"/>
          <w:szCs w:val="20"/>
          <w:lang w:val="en-US"/>
        </w:rPr>
        <w:t>bioaccessibility</w:t>
      </w:r>
      <w:proofErr w:type="spellEnd"/>
      <w:r w:rsidRPr="004C4D59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of Ca (0- 82.3%), Zn (51.9 - 62.2%), Cu (7.5 - 89.8%), Mg (68.0 - 92.2%), Mn (6.75 - 84.3%), P (9.7 - 100%), and K (91.1 - 100%) also showed large interspecies differences.</w:t>
      </w:r>
      <w:r w:rsidR="00BC6010" w:rsidRPr="00EA27C0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</w:t>
      </w:r>
      <w:r w:rsidR="00EA27C0" w:rsidRPr="00EA27C0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For lab-produced biomass, </w:t>
      </w:r>
      <w:r w:rsidR="00C203EC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the </w:t>
      </w:r>
      <w:r w:rsidR="00CB63CC">
        <w:rPr>
          <w:rFonts w:ascii="Times New Roman" w:eastAsia="SimSun" w:hAnsi="Times New Roman" w:cs="Times New Roman"/>
          <w:sz w:val="20"/>
          <w:szCs w:val="20"/>
          <w:lang w:val="en-US"/>
        </w:rPr>
        <w:t>h</w:t>
      </w:r>
      <w:r w:rsidR="00BC6010" w:rsidRPr="00BC6010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eterotrophic mode yielded superior </w:t>
      </w:r>
      <w:proofErr w:type="spellStart"/>
      <w:r w:rsidR="00BC6010" w:rsidRPr="00BC6010">
        <w:rPr>
          <w:rFonts w:ascii="Times New Roman" w:eastAsia="SimSun" w:hAnsi="Times New Roman" w:cs="Times New Roman"/>
          <w:sz w:val="20"/>
          <w:szCs w:val="20"/>
          <w:lang w:val="en-US"/>
        </w:rPr>
        <w:t>bioaccessibility</w:t>
      </w:r>
      <w:proofErr w:type="spellEnd"/>
      <w:r w:rsidR="00BC6010" w:rsidRPr="00BC6010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results (66.9% for </w:t>
      </w:r>
      <w:r w:rsidR="00BC6010" w:rsidRPr="00BC6010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 xml:space="preserve">G. </w:t>
      </w:r>
      <w:proofErr w:type="spellStart"/>
      <w:r w:rsidR="00C3169F" w:rsidRPr="00C3169F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>yellowstonensis</w:t>
      </w:r>
      <w:proofErr w:type="spellEnd"/>
      <w:r w:rsidR="00BC6010" w:rsidRPr="00BC6010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and 76.3% for </w:t>
      </w:r>
      <w:r w:rsidR="00BC6010" w:rsidRPr="00BC6010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>C. vulgaris</w:t>
      </w:r>
      <w:r w:rsidR="00BC6010" w:rsidRPr="00BC6010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) compared to autotrophic cultivation (18.4%, 39.8%, and 41.8% for </w:t>
      </w:r>
      <w:r w:rsidR="00C3169F">
        <w:rPr>
          <w:rFonts w:ascii="Times New Roman" w:eastAsia="SimSun" w:hAnsi="Times New Roman" w:cs="Times New Roman" w:hint="eastAsia"/>
          <w:i/>
          <w:iCs/>
          <w:sz w:val="20"/>
          <w:szCs w:val="20"/>
          <w:lang w:val="en-US" w:eastAsia="zh-CN"/>
        </w:rPr>
        <w:t>L</w:t>
      </w:r>
      <w:r w:rsidR="00BC6010" w:rsidRPr="00BC6010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>. platensis</w:t>
      </w:r>
      <w:r w:rsidR="00BC6010" w:rsidRPr="00BC6010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, </w:t>
      </w:r>
      <w:r w:rsidR="00BC6010" w:rsidRPr="00BC6010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 xml:space="preserve">G. </w:t>
      </w:r>
      <w:proofErr w:type="spellStart"/>
      <w:r w:rsidR="00C3169F" w:rsidRPr="00C3169F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>yellowstonensis</w:t>
      </w:r>
      <w:proofErr w:type="spellEnd"/>
      <w:r w:rsidR="00BC6010" w:rsidRPr="00BC6010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, and </w:t>
      </w:r>
      <w:r w:rsidR="00BC6010" w:rsidRPr="00BC6010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>C. vulgaris</w:t>
      </w:r>
      <w:r w:rsidR="00BC6010" w:rsidRPr="00BC6010">
        <w:rPr>
          <w:rFonts w:ascii="Times New Roman" w:eastAsia="SimSun" w:hAnsi="Times New Roman" w:cs="Times New Roman"/>
          <w:sz w:val="20"/>
          <w:szCs w:val="20"/>
          <w:lang w:val="en-US"/>
        </w:rPr>
        <w:t>, respectively).</w:t>
      </w:r>
      <w:r w:rsidR="00BC6010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</w:t>
      </w:r>
      <w:r w:rsidR="00BC6010" w:rsidRPr="00BC6010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A 7.6-fold increase (up to 1,472.4 mg/kg) was achieved with a 150-fold iron concentration in the medium under autotrophic conditions. However, this increase in biomass iron content was accompanied by a relative decline in </w:t>
      </w:r>
      <w:proofErr w:type="spellStart"/>
      <w:r w:rsidR="00BC6010" w:rsidRPr="00BC6010">
        <w:rPr>
          <w:rFonts w:ascii="Times New Roman" w:eastAsia="SimSun" w:hAnsi="Times New Roman" w:cs="Times New Roman"/>
          <w:sz w:val="20"/>
          <w:szCs w:val="20"/>
          <w:lang w:val="en-US"/>
        </w:rPr>
        <w:t>bioaccessibility</w:t>
      </w:r>
      <w:proofErr w:type="spellEnd"/>
      <w:r w:rsidR="00BC6010" w:rsidRPr="00BC6010">
        <w:rPr>
          <w:rFonts w:ascii="Times New Roman" w:eastAsia="SimSun" w:hAnsi="Times New Roman" w:cs="Times New Roman"/>
          <w:sz w:val="20"/>
          <w:szCs w:val="20"/>
          <w:lang w:val="en-US"/>
        </w:rPr>
        <w:t>, from 36.8% to 17.1%.</w:t>
      </w:r>
      <w:r w:rsidR="00BC6010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</w:t>
      </w:r>
      <w:r w:rsidR="00BC6010" w:rsidRPr="00BC6010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The iron bioavailability of </w:t>
      </w:r>
      <w:r w:rsidR="00C3169F">
        <w:rPr>
          <w:rFonts w:ascii="Times New Roman" w:eastAsia="SimSun" w:hAnsi="Times New Roman" w:cs="Times New Roman" w:hint="eastAsia"/>
          <w:i/>
          <w:iCs/>
          <w:sz w:val="20"/>
          <w:szCs w:val="20"/>
          <w:lang w:val="en-US" w:eastAsia="zh-CN"/>
        </w:rPr>
        <w:t>L</w:t>
      </w:r>
      <w:r w:rsidR="00EA27C0" w:rsidRPr="00EA27C0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>.</w:t>
      </w:r>
      <w:r w:rsidR="00BC6010" w:rsidRPr="00EA27C0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 xml:space="preserve"> platensis</w:t>
      </w:r>
      <w:r w:rsidR="00BC6010" w:rsidRPr="00BC6010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="00BC6010" w:rsidRPr="00BC6010">
        <w:rPr>
          <w:rFonts w:ascii="Times New Roman" w:eastAsia="SimSun" w:hAnsi="Times New Roman" w:cs="Times New Roman"/>
          <w:sz w:val="20"/>
          <w:szCs w:val="20"/>
          <w:lang w:val="en-US"/>
        </w:rPr>
        <w:t>unlysed</w:t>
      </w:r>
      <w:proofErr w:type="spellEnd"/>
      <w:r w:rsidR="00BC6010" w:rsidRPr="00BC6010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</w:t>
      </w:r>
      <w:r w:rsidR="00BC6010" w:rsidRPr="00EA27C0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>H</w:t>
      </w:r>
      <w:r w:rsidR="00EA27C0" w:rsidRPr="00EA27C0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>.</w:t>
      </w:r>
      <w:r w:rsidR="00BC6010" w:rsidRPr="00EA27C0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="00BC6010" w:rsidRPr="00EA27C0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>pluvialis</w:t>
      </w:r>
      <w:proofErr w:type="spellEnd"/>
      <w:r w:rsidR="00BC6010" w:rsidRPr="00BC6010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is the highest, comparable to that of FeSO</w:t>
      </w:r>
      <w:r w:rsidR="00BC6010" w:rsidRPr="00EA27C0">
        <w:rPr>
          <w:rFonts w:ascii="Times New Roman" w:eastAsia="SimSun" w:hAnsi="Times New Roman" w:cs="Times New Roman"/>
          <w:sz w:val="20"/>
          <w:szCs w:val="20"/>
          <w:vertAlign w:val="subscript"/>
          <w:lang w:val="en-US"/>
        </w:rPr>
        <w:t>4</w:t>
      </w:r>
      <w:r w:rsidR="00BC6010" w:rsidRPr="00BC6010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. </w:t>
      </w:r>
      <w:r w:rsidR="00BC6010" w:rsidRPr="00EA27C0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>T</w:t>
      </w:r>
      <w:r w:rsidR="00EA27C0" w:rsidRPr="00EA27C0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 xml:space="preserve">. </w:t>
      </w:r>
      <w:proofErr w:type="spellStart"/>
      <w:r w:rsidR="00BC6010" w:rsidRPr="00EA27C0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>chuii</w:t>
      </w:r>
      <w:proofErr w:type="spellEnd"/>
      <w:r w:rsidR="00BC6010" w:rsidRPr="00BC6010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and </w:t>
      </w:r>
      <w:r w:rsidR="00BC6010" w:rsidRPr="00EA27C0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>D</w:t>
      </w:r>
      <w:r w:rsidR="00EA27C0" w:rsidRPr="00EA27C0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>.</w:t>
      </w:r>
      <w:r w:rsidR="00BC6010" w:rsidRPr="00EA27C0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 xml:space="preserve"> salina</w:t>
      </w:r>
      <w:r w:rsidR="00BC6010" w:rsidRPr="00BC6010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exhibit relatively lower bioavailability; however, their levels remain higher than those found in conventional foods.</w:t>
      </w:r>
      <w:r w:rsidR="00EA27C0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</w:t>
      </w:r>
      <w:r w:rsidRPr="004C4D59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This research provides a systematic evaluation of mineral </w:t>
      </w:r>
      <w:proofErr w:type="spellStart"/>
      <w:r w:rsidRPr="004C4D59">
        <w:rPr>
          <w:rFonts w:ascii="Times New Roman" w:eastAsia="SimSun" w:hAnsi="Times New Roman" w:cs="Times New Roman"/>
          <w:sz w:val="20"/>
          <w:szCs w:val="20"/>
          <w:lang w:val="en-US"/>
        </w:rPr>
        <w:t>bioaccessibility</w:t>
      </w:r>
      <w:proofErr w:type="spellEnd"/>
      <w:r w:rsidRPr="004C4D59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and a case study about iron bioavailability with various microalgae species, highlighting their potential as </w:t>
      </w:r>
      <w:r w:rsidR="001321FC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more </w:t>
      </w:r>
      <w:r w:rsidRPr="004C4D59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sustainable, innovative, highly </w:t>
      </w:r>
      <w:proofErr w:type="spellStart"/>
      <w:r w:rsidRPr="004C4D59">
        <w:rPr>
          <w:rFonts w:ascii="Times New Roman" w:eastAsia="SimSun" w:hAnsi="Times New Roman" w:cs="Times New Roman"/>
          <w:sz w:val="20"/>
          <w:szCs w:val="20"/>
          <w:lang w:val="en-US"/>
        </w:rPr>
        <w:t>bioaccessible</w:t>
      </w:r>
      <w:proofErr w:type="spellEnd"/>
      <w:r w:rsidRPr="004C4D59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and bioavailable mineral sources to address micronutrient deficiency. The following study is a precise clinical trial that will be carried out by ETH Zurich in 202</w:t>
      </w:r>
      <w:r w:rsidR="00BC6010">
        <w:rPr>
          <w:rFonts w:ascii="Times New Roman" w:eastAsia="SimSun" w:hAnsi="Times New Roman" w:cs="Times New Roman"/>
          <w:sz w:val="20"/>
          <w:szCs w:val="20"/>
          <w:lang w:val="en-US"/>
        </w:rPr>
        <w:t>6</w:t>
      </w:r>
      <w:r w:rsidRPr="004C4D59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to evaluate the </w:t>
      </w:r>
      <w:r w:rsidRPr="001321FC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>in vivo</w:t>
      </w:r>
      <w:r w:rsidRPr="004C4D59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mineral bioavailability of microalgae.</w:t>
      </w:r>
    </w:p>
    <w:p w14:paraId="0AE07FD0" w14:textId="77777777" w:rsidR="002A0A1C" w:rsidRPr="00C67487" w:rsidRDefault="002A0A1C" w:rsidP="00665C88">
      <w:pPr>
        <w:pStyle w:val="Els-keywords"/>
        <w:spacing w:after="120" w:line="240" w:lineRule="auto"/>
        <w:rPr>
          <w:b/>
          <w:sz w:val="20"/>
        </w:rPr>
      </w:pPr>
      <w:r w:rsidRPr="00C67487">
        <w:rPr>
          <w:b/>
          <w:sz w:val="20"/>
        </w:rPr>
        <w:t>References</w:t>
      </w:r>
    </w:p>
    <w:p w14:paraId="6C20FFD2" w14:textId="78556E98" w:rsidR="00CB63CC" w:rsidRDefault="002A0A1C" w:rsidP="00C203EC">
      <w:pPr>
        <w:pStyle w:val="Els-keywords"/>
        <w:spacing w:after="40" w:line="240" w:lineRule="auto"/>
        <w:jc w:val="both"/>
        <w:rPr>
          <w:sz w:val="20"/>
        </w:rPr>
      </w:pPr>
      <w:r w:rsidRPr="00C67487">
        <w:rPr>
          <w:sz w:val="20"/>
        </w:rPr>
        <w:t xml:space="preserve">[1] </w:t>
      </w:r>
      <w:r w:rsidR="00CB63CC" w:rsidRPr="00CB63CC">
        <w:rPr>
          <w:sz w:val="20"/>
        </w:rPr>
        <w:t>S. Passarelli, C.M. Free, A. Shepon, T. Beal, C. Batis, C.D. Golden</w:t>
      </w:r>
      <w:r w:rsidR="00CB63CC">
        <w:rPr>
          <w:sz w:val="20"/>
        </w:rPr>
        <w:t xml:space="preserve">, </w:t>
      </w:r>
      <w:r w:rsidR="00CB63CC" w:rsidRPr="00CB63CC">
        <w:rPr>
          <w:sz w:val="20"/>
        </w:rPr>
        <w:t>Global estimation of dietary micronutrient inadequacies: a modelling analysis</w:t>
      </w:r>
      <w:r w:rsidR="00CB63CC">
        <w:rPr>
          <w:sz w:val="20"/>
        </w:rPr>
        <w:t xml:space="preserve">, </w:t>
      </w:r>
      <w:r w:rsidR="00CB63CC" w:rsidRPr="00CB63CC">
        <w:rPr>
          <w:sz w:val="20"/>
        </w:rPr>
        <w:t xml:space="preserve">Lancet Global Health, 12 (2024), p. e1590-e1599 </w:t>
      </w:r>
    </w:p>
    <w:p w14:paraId="6911FF96" w14:textId="1504E86E" w:rsidR="00665C88" w:rsidRPr="00665C88" w:rsidRDefault="00CB63CC" w:rsidP="00C203EC">
      <w:pPr>
        <w:pStyle w:val="Els-keywords"/>
        <w:spacing w:after="40" w:line="240" w:lineRule="auto"/>
        <w:jc w:val="both"/>
        <w:rPr>
          <w:sz w:val="20"/>
        </w:rPr>
      </w:pPr>
      <w:r w:rsidRPr="00CB63CC">
        <w:rPr>
          <w:sz w:val="20"/>
        </w:rPr>
        <w:t>[2] F. Gao, N. Lamprecht, U. Stern, F. Abiusi, C. Zeder, F.von Meyenn, A. Mathys, Iron bioaccessibility assessment and bioaccumulation enrichment in microalgae under different production conditions. Bioresource Technology,</w:t>
      </w:r>
      <w:r>
        <w:rPr>
          <w:sz w:val="20"/>
        </w:rPr>
        <w:t>441(</w:t>
      </w:r>
      <w:r w:rsidRPr="00CB63CC">
        <w:rPr>
          <w:sz w:val="20"/>
        </w:rPr>
        <w:t>2025)</w:t>
      </w:r>
      <w:r>
        <w:rPr>
          <w:sz w:val="20"/>
        </w:rPr>
        <w:t xml:space="preserve">, </w:t>
      </w:r>
      <w:r w:rsidRPr="00CB63CC">
        <w:rPr>
          <w:sz w:val="20"/>
        </w:rPr>
        <w:t>p.133567.</w:t>
      </w:r>
    </w:p>
    <w:p w14:paraId="7BC67066" w14:textId="748CFDEF" w:rsidR="003B0ABD" w:rsidRPr="002537DA" w:rsidRDefault="002A0A1C" w:rsidP="00C203EC">
      <w:pPr>
        <w:pStyle w:val="Els-keywords"/>
        <w:spacing w:after="40" w:line="240" w:lineRule="auto"/>
        <w:jc w:val="both"/>
        <w:rPr>
          <w:sz w:val="20"/>
        </w:rPr>
      </w:pPr>
      <w:r w:rsidRPr="00C67487">
        <w:rPr>
          <w:sz w:val="20"/>
        </w:rPr>
        <w:t>[</w:t>
      </w:r>
      <w:r w:rsidR="00CB63CC">
        <w:rPr>
          <w:sz w:val="20"/>
        </w:rPr>
        <w:t>3</w:t>
      </w:r>
      <w:r w:rsidRPr="00C67487">
        <w:rPr>
          <w:sz w:val="20"/>
        </w:rPr>
        <w:t xml:space="preserve">] </w:t>
      </w:r>
      <w:r w:rsidR="00CB63CC" w:rsidRPr="00CB63CC">
        <w:rPr>
          <w:sz w:val="20"/>
        </w:rPr>
        <w:t>F.</w:t>
      </w:r>
      <w:r w:rsidR="00CB63CC">
        <w:rPr>
          <w:sz w:val="20"/>
        </w:rPr>
        <w:t xml:space="preserve"> </w:t>
      </w:r>
      <w:r w:rsidR="00CB63CC" w:rsidRPr="00CB63CC">
        <w:rPr>
          <w:sz w:val="20"/>
        </w:rPr>
        <w:t>Gao, S.</w:t>
      </w:r>
      <w:r w:rsidR="00CB63CC">
        <w:rPr>
          <w:sz w:val="20"/>
        </w:rPr>
        <w:t xml:space="preserve"> </w:t>
      </w:r>
      <w:r w:rsidR="00CB63CC" w:rsidRPr="00CB63CC">
        <w:rPr>
          <w:sz w:val="20"/>
        </w:rPr>
        <w:t>Chen, X.</w:t>
      </w:r>
      <w:r w:rsidR="00CB63CC">
        <w:rPr>
          <w:sz w:val="20"/>
        </w:rPr>
        <w:t xml:space="preserve"> </w:t>
      </w:r>
      <w:r w:rsidR="00CB63CC" w:rsidRPr="00CB63CC">
        <w:rPr>
          <w:sz w:val="20"/>
        </w:rPr>
        <w:t>Zhao, A.</w:t>
      </w:r>
      <w:r w:rsidR="00CB63CC">
        <w:rPr>
          <w:sz w:val="20"/>
        </w:rPr>
        <w:t xml:space="preserve"> </w:t>
      </w:r>
      <w:r w:rsidR="00CB63CC" w:rsidRPr="00CB63CC">
        <w:rPr>
          <w:sz w:val="20"/>
        </w:rPr>
        <w:t>Besimi, C.</w:t>
      </w:r>
      <w:r w:rsidR="00CB63CC">
        <w:rPr>
          <w:sz w:val="20"/>
        </w:rPr>
        <w:t xml:space="preserve"> </w:t>
      </w:r>
      <w:r w:rsidR="00CB63CC" w:rsidRPr="00CB63CC">
        <w:rPr>
          <w:sz w:val="20"/>
        </w:rPr>
        <w:t>Zeder, M.J.</w:t>
      </w:r>
      <w:r w:rsidR="00CB63CC">
        <w:rPr>
          <w:sz w:val="20"/>
        </w:rPr>
        <w:t xml:space="preserve"> </w:t>
      </w:r>
      <w:r w:rsidR="00CB63CC" w:rsidRPr="00CB63CC">
        <w:rPr>
          <w:sz w:val="20"/>
        </w:rPr>
        <w:t>Barbosa, F.</w:t>
      </w:r>
      <w:r w:rsidR="00CB63CC">
        <w:rPr>
          <w:sz w:val="20"/>
        </w:rPr>
        <w:t xml:space="preserve"> </w:t>
      </w:r>
      <w:r w:rsidR="00CB63CC" w:rsidRPr="00CB63CC">
        <w:rPr>
          <w:sz w:val="20"/>
        </w:rPr>
        <w:t>von Meyenn, A.</w:t>
      </w:r>
      <w:r w:rsidR="00CB63CC">
        <w:rPr>
          <w:sz w:val="20"/>
        </w:rPr>
        <w:t xml:space="preserve"> </w:t>
      </w:r>
      <w:r w:rsidR="00CB63CC" w:rsidRPr="00CB63CC">
        <w:rPr>
          <w:sz w:val="20"/>
        </w:rPr>
        <w:t xml:space="preserve">Mathys, Bioaccessibility and bioavailability assessment of microalgae-derived minerals for human nutrition. Current Research in Food Science, </w:t>
      </w:r>
      <w:r w:rsidR="00CB63CC">
        <w:rPr>
          <w:sz w:val="20"/>
        </w:rPr>
        <w:t>12(</w:t>
      </w:r>
      <w:r w:rsidR="00CB63CC" w:rsidRPr="00CB63CC">
        <w:rPr>
          <w:sz w:val="20"/>
        </w:rPr>
        <w:t>2026</w:t>
      </w:r>
      <w:r w:rsidR="00CB63CC">
        <w:rPr>
          <w:sz w:val="20"/>
        </w:rPr>
        <w:t xml:space="preserve">), </w:t>
      </w:r>
      <w:r w:rsidR="00CB63CC" w:rsidRPr="00CB63CC">
        <w:rPr>
          <w:sz w:val="20"/>
        </w:rPr>
        <w:t>p.101302.</w:t>
      </w:r>
      <w:r w:rsidR="0078067E" w:rsidRPr="0078067E">
        <w:rPr>
          <w:sz w:val="20"/>
        </w:rPr>
        <w:t xml:space="preserve"> </w:t>
      </w:r>
    </w:p>
    <w:sectPr w:rsidR="003B0ABD" w:rsidRPr="002537DA" w:rsidSect="0043134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47646" w14:textId="77777777" w:rsidR="00D93B5E" w:rsidRDefault="00D93B5E" w:rsidP="00431340">
      <w:pPr>
        <w:spacing w:after="0" w:line="240" w:lineRule="auto"/>
      </w:pPr>
      <w:r>
        <w:separator/>
      </w:r>
    </w:p>
  </w:endnote>
  <w:endnote w:type="continuationSeparator" w:id="0">
    <w:p w14:paraId="738BAF1C" w14:textId="77777777" w:rsidR="00D93B5E" w:rsidRDefault="00D93B5E" w:rsidP="0043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D3463" w14:textId="77777777" w:rsidR="00827794" w:rsidRDefault="008277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5D731" w14:textId="77777777" w:rsidR="00827794" w:rsidRDefault="008277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BEA82" w14:textId="77777777" w:rsidR="00827794" w:rsidRDefault="008277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348C3" w14:textId="77777777" w:rsidR="00D93B5E" w:rsidRDefault="00D93B5E" w:rsidP="00431340">
      <w:pPr>
        <w:spacing w:after="0" w:line="240" w:lineRule="auto"/>
      </w:pPr>
      <w:r>
        <w:separator/>
      </w:r>
    </w:p>
  </w:footnote>
  <w:footnote w:type="continuationSeparator" w:id="0">
    <w:p w14:paraId="78955C62" w14:textId="77777777" w:rsidR="00D93B5E" w:rsidRDefault="00D93B5E" w:rsidP="00431340">
      <w:pPr>
        <w:spacing w:after="0" w:line="240" w:lineRule="auto"/>
      </w:pPr>
      <w:r>
        <w:continuationSeparator/>
      </w:r>
    </w:p>
  </w:footnote>
  <w:footnote w:id="1">
    <w:p w14:paraId="338DA589" w14:textId="6096EC0A" w:rsidR="004C4D59" w:rsidRPr="00BF77A7" w:rsidRDefault="004C4D59" w:rsidP="004C4D59">
      <w:pPr>
        <w:pStyle w:val="Els-footnote"/>
        <w:ind w:firstLine="120"/>
        <w:rPr>
          <w:sz w:val="18"/>
          <w:szCs w:val="18"/>
        </w:rPr>
      </w:pPr>
      <w:r w:rsidRPr="00BF77A7">
        <w:rPr>
          <w:sz w:val="18"/>
          <w:szCs w:val="18"/>
        </w:rPr>
        <w:t xml:space="preserve">* Corresponding author </w:t>
      </w:r>
      <w:r w:rsidRPr="00BF77A7">
        <w:rPr>
          <w:i/>
          <w:iCs/>
          <w:sz w:val="18"/>
          <w:szCs w:val="18"/>
        </w:rPr>
        <w:t>E-mail address:</w:t>
      </w:r>
      <w:r w:rsidRPr="00BF77A7">
        <w:rPr>
          <w:sz w:val="18"/>
          <w:szCs w:val="18"/>
        </w:rPr>
        <w:t xml:space="preserve"> </w:t>
      </w:r>
      <w:r w:rsidRPr="004C4D59">
        <w:rPr>
          <w:sz w:val="18"/>
          <w:szCs w:val="18"/>
        </w:rPr>
        <w:t>fengzheng.gao@hest.ethz.ch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2432D" w14:textId="77777777" w:rsidR="00827794" w:rsidRDefault="008277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2355A" w14:textId="77777777" w:rsidR="00827794" w:rsidRDefault="008277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54CF2" w14:textId="77777777" w:rsidR="00827794" w:rsidRDefault="008277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2121340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zS2NLM0tjA1sjBR0lEKTi0uzszPAykwrAUAgXZY+ywAAAA="/>
  </w:docVars>
  <w:rsids>
    <w:rsidRoot w:val="00431340"/>
    <w:rsid w:val="001321FC"/>
    <w:rsid w:val="001C51B3"/>
    <w:rsid w:val="001F4E3D"/>
    <w:rsid w:val="00234209"/>
    <w:rsid w:val="002537DA"/>
    <w:rsid w:val="002A0A1C"/>
    <w:rsid w:val="002A2B3C"/>
    <w:rsid w:val="002C5B93"/>
    <w:rsid w:val="00372579"/>
    <w:rsid w:val="003B0ABD"/>
    <w:rsid w:val="00431340"/>
    <w:rsid w:val="00464A63"/>
    <w:rsid w:val="004B7E87"/>
    <w:rsid w:val="004C4D59"/>
    <w:rsid w:val="004C7508"/>
    <w:rsid w:val="004D1125"/>
    <w:rsid w:val="00564637"/>
    <w:rsid w:val="0059506C"/>
    <w:rsid w:val="005B77D8"/>
    <w:rsid w:val="00646E7D"/>
    <w:rsid w:val="00654033"/>
    <w:rsid w:val="00665C88"/>
    <w:rsid w:val="00673656"/>
    <w:rsid w:val="006D3652"/>
    <w:rsid w:val="0070599D"/>
    <w:rsid w:val="007679DD"/>
    <w:rsid w:val="00772B06"/>
    <w:rsid w:val="007752C7"/>
    <w:rsid w:val="0078067E"/>
    <w:rsid w:val="00781D43"/>
    <w:rsid w:val="00827794"/>
    <w:rsid w:val="00841326"/>
    <w:rsid w:val="009C71BA"/>
    <w:rsid w:val="00BC6010"/>
    <w:rsid w:val="00BE265A"/>
    <w:rsid w:val="00BF77A7"/>
    <w:rsid w:val="00C17F75"/>
    <w:rsid w:val="00C203EC"/>
    <w:rsid w:val="00C3169F"/>
    <w:rsid w:val="00C4616B"/>
    <w:rsid w:val="00C67487"/>
    <w:rsid w:val="00CB63CC"/>
    <w:rsid w:val="00CC179B"/>
    <w:rsid w:val="00D10E69"/>
    <w:rsid w:val="00D753D4"/>
    <w:rsid w:val="00D93B5E"/>
    <w:rsid w:val="00DA2CEC"/>
    <w:rsid w:val="00DC7B54"/>
    <w:rsid w:val="00DD4FF9"/>
    <w:rsid w:val="00EA27C0"/>
    <w:rsid w:val="00F55548"/>
    <w:rsid w:val="00F9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8A8A0"/>
  <w14:defaultImageDpi w14:val="330"/>
  <w15:chartTrackingRefBased/>
  <w15:docId w15:val="{93FFE5C1-BAE5-4AF8-9349-7A14C761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ls-Abstract-head">
    <w:name w:val="Els-Abstract-head"/>
    <w:next w:val="Normal"/>
    <w:rsid w:val="00431340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SimSun" w:hAnsi="Times New Roma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Normal"/>
    <w:rsid w:val="00431340"/>
    <w:pPr>
      <w:spacing w:after="0" w:line="220" w:lineRule="exact"/>
      <w:jc w:val="both"/>
    </w:pPr>
    <w:rPr>
      <w:rFonts w:ascii="Times New Roman" w:eastAsia="SimSun" w:hAnsi="Times New Roman" w:cs="Times New Roman"/>
      <w:sz w:val="18"/>
      <w:szCs w:val="20"/>
      <w:lang w:val="en-US"/>
    </w:rPr>
  </w:style>
  <w:style w:type="paragraph" w:customStyle="1" w:styleId="Els-Affiliation">
    <w:name w:val="Els-Affiliation"/>
    <w:next w:val="Els-Abstract-head"/>
    <w:rsid w:val="00431340"/>
    <w:pPr>
      <w:suppressAutoHyphens/>
      <w:spacing w:after="0" w:line="200" w:lineRule="exact"/>
      <w:jc w:val="center"/>
    </w:pPr>
    <w:rPr>
      <w:rFonts w:ascii="Times New Roman" w:eastAsia="SimSun" w:hAnsi="Times New Roman" w:cs="Times New Roman"/>
      <w:i/>
      <w:noProof/>
      <w:sz w:val="16"/>
      <w:szCs w:val="20"/>
      <w:lang w:val="en-US"/>
    </w:rPr>
  </w:style>
  <w:style w:type="paragraph" w:customStyle="1" w:styleId="Els-Author">
    <w:name w:val="Els-Author"/>
    <w:next w:val="Normal"/>
    <w:rsid w:val="00431340"/>
    <w:pPr>
      <w:keepNext/>
      <w:suppressAutoHyphens/>
      <w:spacing w:line="300" w:lineRule="exact"/>
      <w:jc w:val="center"/>
    </w:pPr>
    <w:rPr>
      <w:rFonts w:ascii="Times New Roman" w:eastAsia="SimSun" w:hAnsi="Times New Roman" w:cs="Times New Roman"/>
      <w:noProof/>
      <w:sz w:val="26"/>
      <w:szCs w:val="20"/>
      <w:lang w:val="en-US"/>
    </w:rPr>
  </w:style>
  <w:style w:type="paragraph" w:customStyle="1" w:styleId="Els-footnote">
    <w:name w:val="Els-footnote"/>
    <w:rsid w:val="00431340"/>
    <w:pPr>
      <w:keepLines/>
      <w:widowControl w:val="0"/>
      <w:spacing w:after="0" w:line="200" w:lineRule="exact"/>
      <w:ind w:firstLine="245"/>
      <w:jc w:val="both"/>
    </w:pPr>
    <w:rPr>
      <w:rFonts w:ascii="Times New Roman" w:eastAsia="SimSun" w:hAnsi="Times New Roman" w:cs="Times New Roman"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C67487"/>
    <w:pPr>
      <w:suppressAutoHyphens/>
      <w:spacing w:after="240" w:line="400" w:lineRule="exact"/>
      <w:jc w:val="center"/>
    </w:pPr>
    <w:rPr>
      <w:rFonts w:ascii="Times New Roman" w:eastAsia="SimSun" w:hAnsi="Times New Roman" w:cs="Times New Roman"/>
      <w:sz w:val="32"/>
      <w:szCs w:val="32"/>
      <w:lang w:val="en-US"/>
    </w:rPr>
  </w:style>
  <w:style w:type="paragraph" w:customStyle="1" w:styleId="DocHead">
    <w:name w:val="DocHead"/>
    <w:rsid w:val="00431340"/>
    <w:pPr>
      <w:spacing w:before="240" w:after="240" w:line="240" w:lineRule="auto"/>
      <w:jc w:val="center"/>
    </w:pPr>
    <w:rPr>
      <w:rFonts w:ascii="Times New Roman" w:eastAsia="SimSun" w:hAnsi="Times New Roman" w:cs="Times New Roman"/>
      <w:sz w:val="24"/>
      <w:szCs w:val="20"/>
      <w:lang w:val="en-US"/>
    </w:rPr>
  </w:style>
  <w:style w:type="paragraph" w:customStyle="1" w:styleId="Els-1storder-head">
    <w:name w:val="Els-1storder-head"/>
    <w:next w:val="Normal"/>
    <w:rsid w:val="00431340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Normal"/>
    <w:rsid w:val="00431340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Normal"/>
    <w:rsid w:val="00431340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Normal"/>
    <w:rsid w:val="00431340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keywords">
    <w:name w:val="Els-keywords"/>
    <w:next w:val="Normal"/>
    <w:rsid w:val="00431340"/>
    <w:pPr>
      <w:pBdr>
        <w:bottom w:val="single" w:sz="4" w:space="10" w:color="auto"/>
      </w:pBdr>
      <w:spacing w:after="200" w:line="200" w:lineRule="exact"/>
    </w:pPr>
    <w:rPr>
      <w:rFonts w:ascii="Times New Roman" w:eastAsia="SimSun" w:hAnsi="Times New Roman" w:cs="Times New Roman"/>
      <w:noProof/>
      <w:sz w:val="16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E69"/>
  </w:style>
  <w:style w:type="paragraph" w:styleId="Footer">
    <w:name w:val="footer"/>
    <w:basedOn w:val="Normal"/>
    <w:link w:val="Foot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E69"/>
  </w:style>
  <w:style w:type="character" w:styleId="Emphasis">
    <w:name w:val="Emphasis"/>
    <w:basedOn w:val="DefaultParagraphFont"/>
    <w:uiPriority w:val="20"/>
    <w:qFormat/>
    <w:rsid w:val="0056463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7d05e4-7e54-4bca-b3a9-641ceb3a267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A24E98C69743A7BF717E9530DB95" ma:contentTypeVersion="9" ma:contentTypeDescription="Create a new document." ma:contentTypeScope="" ma:versionID="4616b87239332432b97eb07286909149">
  <xsd:schema xmlns:xsd="http://www.w3.org/2001/XMLSchema" xmlns:xs="http://www.w3.org/2001/XMLSchema" xmlns:p="http://schemas.microsoft.com/office/2006/metadata/properties" xmlns:ns3="d27d05e4-7e54-4bca-b3a9-641ceb3a267a" targetNamespace="http://schemas.microsoft.com/office/2006/metadata/properties" ma:root="true" ma:fieldsID="72fef82b6cec19807c450b2670b20daf" ns3:_="">
    <xsd:import namespace="d27d05e4-7e54-4bca-b3a9-641ceb3a267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d05e4-7e54-4bca-b3a9-641ceb3a267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6F0403-E370-494D-B765-20D2FD7589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939410-E0F5-492F-9F5C-B435CDF4F96A}">
  <ds:schemaRefs>
    <ds:schemaRef ds:uri="http://schemas.microsoft.com/office/2006/metadata/properties"/>
    <ds:schemaRef ds:uri="http://schemas.microsoft.com/office/infopath/2007/PartnerControls"/>
    <ds:schemaRef ds:uri="d27d05e4-7e54-4bca-b3a9-641ceb3a267a"/>
  </ds:schemaRefs>
</ds:datastoreItem>
</file>

<file path=customXml/itemProps3.xml><?xml version="1.0" encoding="utf-8"?>
<ds:datastoreItem xmlns:ds="http://schemas.openxmlformats.org/officeDocument/2006/customXml" ds:itemID="{49A82A5F-72B7-4901-A265-423F78BF88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6EFCDA-EE0B-4F8D-B7B2-B495F7F5C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d05e4-7e54-4bca-b3a9-641ceb3a2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572</Words>
  <Characters>3604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Karlsaune</dc:creator>
  <cp:keywords/>
  <dc:description/>
  <cp:lastModifiedBy>Gao  Fengzheng</cp:lastModifiedBy>
  <cp:revision>13</cp:revision>
  <dcterms:created xsi:type="dcterms:W3CDTF">2026-02-04T06:37:00Z</dcterms:created>
  <dcterms:modified xsi:type="dcterms:W3CDTF">2026-03-31T11:55:00Z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0x010100A11AA24E98C69743A7BF717E9530DB95</vt:lpwstr>
  </property>
</Properties>
</file>