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25392E23" w:rsidR="00431340" w:rsidRPr="00C67487" w:rsidRDefault="002F4155" w:rsidP="00C67487">
      <w:pPr>
        <w:pStyle w:val="Els-Title"/>
      </w:pPr>
      <w:r>
        <w:t>Development of a Prioritization Framework and Quantitative Assessment System for Human Health Hazardous Substances in Total Diet Studies (TDS)</w:t>
      </w:r>
    </w:p>
    <w:p w14:paraId="5E774EED" w14:textId="71ADA78E" w:rsidR="00673656" w:rsidRPr="009C71BA" w:rsidRDefault="002F4155" w:rsidP="00673656">
      <w:pPr>
        <w:pStyle w:val="Els-Author"/>
        <w:ind w:right="2"/>
        <w:rPr>
          <w:sz w:val="24"/>
          <w:szCs w:val="24"/>
        </w:rPr>
      </w:pPr>
      <w:r>
        <w:rPr>
          <w:sz w:val="24"/>
          <w:szCs w:val="24"/>
        </w:rPr>
        <w:t>MS</w:t>
      </w:r>
      <w:r w:rsidR="004C7508" w:rsidRPr="009C71BA">
        <w:rPr>
          <w:sz w:val="24"/>
          <w:szCs w:val="24"/>
          <w:lang w:val="nb-NO"/>
        </w:rPr>
        <w:t xml:space="preserve">. </w:t>
      </w:r>
      <w:r>
        <w:rPr>
          <w:sz w:val="24"/>
          <w:szCs w:val="24"/>
          <w:lang w:val="nb-NO"/>
        </w:rPr>
        <w:t>Hwang</w:t>
      </w:r>
      <w:r w:rsidR="00673656" w:rsidRPr="009C71BA">
        <w:rPr>
          <w:sz w:val="24"/>
          <w:szCs w:val="24"/>
          <w:vertAlign w:val="superscript"/>
        </w:rPr>
        <w:footnoteReference w:id="1"/>
      </w:r>
      <w:r w:rsidR="00673656" w:rsidRPr="009C71BA">
        <w:rPr>
          <w:sz w:val="24"/>
          <w:szCs w:val="24"/>
          <w:lang w:val="nb-NO"/>
        </w:rPr>
        <w:t xml:space="preserve">, </w:t>
      </w:r>
      <w:r>
        <w:rPr>
          <w:sz w:val="24"/>
          <w:szCs w:val="24"/>
          <w:lang w:val="nb-NO"/>
        </w:rPr>
        <w:t>HJ Lee</w:t>
      </w:r>
    </w:p>
    <w:p w14:paraId="5342D5C1" w14:textId="221BB0DE" w:rsidR="00673656" w:rsidRPr="00673656" w:rsidRDefault="00673656" w:rsidP="00431340">
      <w:pPr>
        <w:pStyle w:val="Els-Author"/>
        <w:ind w:right="2"/>
        <w:rPr>
          <w:sz w:val="28"/>
          <w:szCs w:val="28"/>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p>
    <w:p w14:paraId="05A3C6FA" w14:textId="2C70D80C" w:rsidR="00431340" w:rsidRDefault="004C7508" w:rsidP="002F4155">
      <w:pPr>
        <w:pStyle w:val="Els-Affiliation"/>
        <w:rPr>
          <w:lang w:eastAsia="zh-CN"/>
        </w:rPr>
      </w:pPr>
      <w:r>
        <w:rPr>
          <w:vertAlign w:val="superscript"/>
          <w:lang w:val="nb-NO"/>
        </w:rPr>
        <w:t>a</w:t>
      </w:r>
      <w:r w:rsidRPr="00234209">
        <w:rPr>
          <w:lang w:val="nb-NO"/>
        </w:rPr>
        <w:t xml:space="preserve"> </w:t>
      </w:r>
      <w:r>
        <w:rPr>
          <w:lang w:val="nb-NO"/>
        </w:rPr>
        <w:t xml:space="preserve">Department of </w:t>
      </w:r>
      <w:r w:rsidR="002F4155">
        <w:rPr>
          <w:lang w:val="nb-NO"/>
        </w:rPr>
        <w:t>Food Nutrition</w:t>
      </w:r>
      <w:r>
        <w:rPr>
          <w:lang w:val="nb-NO"/>
        </w:rPr>
        <w:t xml:space="preserve">, </w:t>
      </w:r>
      <w:r w:rsidR="002F4155">
        <w:rPr>
          <w:lang w:val="nb-NO"/>
        </w:rPr>
        <w:t xml:space="preserve">Gachon </w:t>
      </w:r>
      <w:r>
        <w:rPr>
          <w:lang w:val="nb-NO"/>
        </w:rPr>
        <w:t xml:space="preserve">University, </w:t>
      </w:r>
      <w:r w:rsidR="002F4155">
        <w:rPr>
          <w:lang w:val="nb-NO"/>
        </w:rPr>
        <w:t>Seongnam-Daero, Sujeong-Gu, Seongnam-Si</w:t>
      </w:r>
      <w:r>
        <w:rPr>
          <w:lang w:val="nb-NO"/>
        </w:rPr>
        <w:t xml:space="preserve">, </w:t>
      </w:r>
      <w:r w:rsidR="002F4155">
        <w:rPr>
          <w:lang w:val="nb-NO"/>
        </w:rPr>
        <w:t>Republic of Korea</w:t>
      </w:r>
      <w:r w:rsidRPr="00234209">
        <w:rPr>
          <w:lang w:val="nb-NO"/>
        </w:rPr>
        <w:t xml:space="preserve"> </w:t>
      </w:r>
      <w:r w:rsidR="002F4155">
        <w:rPr>
          <w:lang w:val="nb-NO"/>
        </w:rPr>
        <w:t>13120</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2B9EDD52" w14:textId="77777777" w:rsidR="002E5A60" w:rsidRDefault="00E15489" w:rsidP="00653AD7">
      <w:pPr>
        <w:pStyle w:val="Els-Abstract-head"/>
        <w:spacing w:before="120" w:after="0" w:line="240" w:lineRule="auto"/>
        <w:jc w:val="both"/>
        <w:rPr>
          <w:b w:val="0"/>
          <w:sz w:val="20"/>
          <w:lang w:val="nb-NO"/>
        </w:rPr>
      </w:pPr>
      <w:r w:rsidRPr="00E15489">
        <w:rPr>
          <w:b w:val="0"/>
          <w:sz w:val="20"/>
          <w:lang w:val="nb-NO"/>
        </w:rPr>
        <w:t xml:space="preserve">Environmental contaminants originating from industrial activities, environmental emissions, and food processing can be unintentionally introduced into the food chain, resulting in human dietary exposure. Total Diet Studies (TDS) are widely used to estimate population-level exposure and assess health risks associated with such hazardous substances. However, conventional TDS programs primarily focus on regulated or well-characterized contaminants. </w:t>
      </w:r>
      <w:r w:rsidR="00B417A4" w:rsidRPr="002E5A60">
        <w:rPr>
          <w:b w:val="0"/>
          <w:sz w:val="20"/>
          <w:lang w:val="nb-NO"/>
        </w:rPr>
        <w:t>Existing chemical prioritization frameworks, including Chemical Ranking and Scoring (CRS) methods, are generally based on intrinsic chemical properties and baseline exposure conditions. Although recent exposure modeling tools allow partial adjustment of prioritization according to changes in use patterns, the integration of broader environmental drivers—such as climate change and dietary transitions—into quantitative prioritization frameworks remains limited.</w:t>
      </w:r>
      <w:r w:rsidR="00B417A4" w:rsidRPr="002E5A60">
        <w:rPr>
          <w:b w:val="0"/>
          <w:sz w:val="20"/>
          <w:lang w:val="nb-NO"/>
        </w:rPr>
        <w:t xml:space="preserve"> </w:t>
      </w:r>
      <w:r w:rsidRPr="00E15489">
        <w:rPr>
          <w:b w:val="0"/>
          <w:sz w:val="20"/>
          <w:lang w:val="nb-NO"/>
        </w:rPr>
        <w:t>Emerging drivers, including climate change and shifts in dietary patterns, may alter the occurrence, distribution, and exposure pathways of contaminants, thereby necessitating a more proactive and systematic prioritization framework.</w:t>
      </w:r>
      <w:r w:rsidR="00653AD7">
        <w:rPr>
          <w:b w:val="0"/>
          <w:sz w:val="20"/>
          <w:lang w:val="nb-NO"/>
        </w:rPr>
        <w:t xml:space="preserve"> </w:t>
      </w:r>
    </w:p>
    <w:p w14:paraId="44EA13B4" w14:textId="455366E3" w:rsidR="00EB7A1A" w:rsidRDefault="00E15489" w:rsidP="00653AD7">
      <w:pPr>
        <w:pStyle w:val="Els-Abstract-head"/>
        <w:spacing w:before="120" w:after="0" w:line="240" w:lineRule="auto"/>
        <w:jc w:val="both"/>
        <w:rPr>
          <w:b w:val="0"/>
          <w:sz w:val="20"/>
        </w:rPr>
      </w:pPr>
      <w:bookmarkStart w:id="4" w:name="_GoBack"/>
      <w:bookmarkEnd w:id="4"/>
      <w:r w:rsidRPr="00E15489">
        <w:rPr>
          <w:b w:val="0"/>
          <w:sz w:val="20"/>
        </w:rPr>
        <w:t>This study aimed to develop a structured prioritization framework and a semi-quantitative scoring system (TDS-CRS) to support the selection of hazardous substances for TDS, incorporating environmental and dietary changes.</w:t>
      </w:r>
      <w:r w:rsidR="00653AD7">
        <w:rPr>
          <w:b w:val="0"/>
          <w:sz w:val="20"/>
        </w:rPr>
        <w:t xml:space="preserve"> </w:t>
      </w:r>
    </w:p>
    <w:p w14:paraId="7A396068" w14:textId="77777777" w:rsidR="00EB7A1A" w:rsidRDefault="00E15489" w:rsidP="00653AD7">
      <w:pPr>
        <w:pStyle w:val="Els-Abstract-head"/>
        <w:spacing w:before="120" w:after="0" w:line="240" w:lineRule="auto"/>
        <w:jc w:val="both"/>
        <w:rPr>
          <w:b w:val="0"/>
          <w:sz w:val="20"/>
        </w:rPr>
      </w:pPr>
      <w:r w:rsidRPr="00E15489">
        <w:rPr>
          <w:b w:val="0"/>
          <w:sz w:val="20"/>
        </w:rPr>
        <w:t>The proposed framework builds upon the Food-CRS system developed in 2009 by the Ministry of Food and Drug Safety and was further refined to incorporate environmental changes such as climate variability and evolving dietary patterns. A tiered prioritization approach was applied, consisting of (</w:t>
      </w:r>
      <w:proofErr w:type="spellStart"/>
      <w:r w:rsidRPr="00E15489">
        <w:rPr>
          <w:b w:val="0"/>
          <w:sz w:val="20"/>
        </w:rPr>
        <w:t>i</w:t>
      </w:r>
      <w:proofErr w:type="spellEnd"/>
      <w:r w:rsidRPr="00E15489">
        <w:rPr>
          <w:b w:val="0"/>
          <w:sz w:val="20"/>
        </w:rPr>
        <w:t>) initial screening using Chemical Ranking and Scoring (CRS), (ii) expert-based evaluation, and (iii) inclusion in TDS followed by quantitative risk assessment. The system integrates multi-media environmental fate modeling, environmental-to-food transfer processes, and human exposure assessment. Input data include environmental emission and monitoring data (air, water, soil), physicochemical properties and fate parameters, food-chain transfer factors (e.g., BCF, BTF), toxicological endpoints (carcinogenicity, chronic and reproductive toxicity), and food consumption data. A semi-quantitative scoring system (range: 0–300) was established based on exposure potential, toxicity, and regulatory relevance. In addition, potential changes in exposure patterns due to climate-induced variations in environmental concentrations and shifts in dietary intake were quantitatively incorporated into the prioritization process. Finally, the prioritized substances were compared with the existing list of TDS priority substances, and overlapping substances were excluded; the remaining candidates were further evaluated through expert consultation to determine their suitability for inclusion in future TDS programs.</w:t>
      </w:r>
      <w:r w:rsidR="00653AD7">
        <w:rPr>
          <w:b w:val="0"/>
          <w:sz w:val="20"/>
        </w:rPr>
        <w:t xml:space="preserve"> </w:t>
      </w:r>
    </w:p>
    <w:p w14:paraId="18ADDA88" w14:textId="77777777" w:rsidR="002E5A60" w:rsidRDefault="00E15489" w:rsidP="00653AD7">
      <w:pPr>
        <w:pStyle w:val="Els-Abstract-head"/>
        <w:spacing w:before="120" w:after="0" w:line="240" w:lineRule="auto"/>
        <w:jc w:val="both"/>
        <w:rPr>
          <w:b w:val="0"/>
          <w:sz w:val="20"/>
        </w:rPr>
      </w:pPr>
      <w:r w:rsidRPr="00E15489">
        <w:rPr>
          <w:b w:val="0"/>
          <w:sz w:val="20"/>
        </w:rPr>
        <w:t>From an initial pool of 748 environmental contaminants, approximately 250 substances were shortlisted based on international regulatory relevance, and 103 substances were further selected by incorporating domestic emission and distribution characteristics. After excluding substances already included in existing TDS programs, priority candidates were identified, encompassing metals, persistent organic pollutants, endocrine-disrupting chemicals, and other organic contaminants. The TDS-CRS framework enabled the quantitative estimation of dietary exposure (e.g., estimated daily intake) and risk metrics, supporting evidence-based prioritization. Furthermore, the 103 prioritized substances identified through the TDS-CRS were compared with an existing list of 54 TDS priority substances; after removing overlapping substances, the remaining candidates will be further evaluated through expert review to determine their suitability as future TDS target substances.</w:t>
      </w:r>
      <w:r w:rsidR="00653AD7">
        <w:rPr>
          <w:b w:val="0"/>
          <w:sz w:val="20"/>
        </w:rPr>
        <w:t xml:space="preserve"> </w:t>
      </w:r>
    </w:p>
    <w:p w14:paraId="73E85DE9" w14:textId="7297D1AA" w:rsidR="002F4155" w:rsidRPr="00E15489" w:rsidRDefault="00E15489" w:rsidP="00653AD7">
      <w:pPr>
        <w:pStyle w:val="Els-Abstract-head"/>
        <w:spacing w:before="120" w:after="0" w:line="240" w:lineRule="auto"/>
        <w:jc w:val="both"/>
        <w:rPr>
          <w:b w:val="0"/>
          <w:sz w:val="20"/>
        </w:rPr>
      </w:pPr>
      <w:r w:rsidRPr="00E15489">
        <w:rPr>
          <w:b w:val="0"/>
          <w:sz w:val="20"/>
        </w:rPr>
        <w:t xml:space="preserve">The proposed TDS-CRS framework provides a transparent, flexible, and science-based tool for prioritizing hazardous substances in TDS. </w:t>
      </w:r>
      <w:r w:rsidR="002E5A60" w:rsidRPr="002E5A60">
        <w:rPr>
          <w:b w:val="0"/>
          <w:sz w:val="20"/>
          <w:lang w:val="nb-NO"/>
        </w:rPr>
        <w:t xml:space="preserve">By incorporating climate change and dietary transitions, the framework advances beyond conventional static approaches toward dynamic, exposure-responsive prioritization. This approach </w:t>
      </w:r>
      <w:r w:rsidR="002E5A60" w:rsidRPr="002E5A60">
        <w:rPr>
          <w:b w:val="0"/>
          <w:sz w:val="20"/>
          <w:lang w:val="nb-NO"/>
        </w:rPr>
        <w:lastRenderedPageBreak/>
        <w:t>enhances the early identification of emerging contaminants and supports proactive risk management. Further refinement and validation are required to facilitate regulatory implementation.</w:t>
      </w:r>
      <w:r w:rsidR="002E5A60">
        <w:rPr>
          <w:b w:val="0"/>
          <w:sz w:val="20"/>
          <w:lang w:val="nb-NO"/>
        </w:rPr>
        <w:t xml:space="preserve"> </w:t>
      </w:r>
    </w:p>
    <w:p w14:paraId="7687299F" w14:textId="77777777" w:rsidR="007679DD" w:rsidRPr="00E15489" w:rsidRDefault="007679DD" w:rsidP="002F4155">
      <w:pPr>
        <w:pStyle w:val="Els-Abstract-head"/>
        <w:spacing w:before="120" w:after="0" w:line="240" w:lineRule="auto"/>
        <w:jc w:val="both"/>
        <w:rPr>
          <w:b w:val="0"/>
          <w:sz w:val="20"/>
        </w:rPr>
      </w:pPr>
    </w:p>
    <w:p w14:paraId="0AE07FD0" w14:textId="77777777" w:rsidR="002A0A1C" w:rsidRPr="00C67487" w:rsidRDefault="002A0A1C" w:rsidP="00653AD7">
      <w:pPr>
        <w:pStyle w:val="Els-keywords"/>
        <w:pBdr>
          <w:bottom w:val="single" w:sz="4" w:space="0" w:color="auto"/>
        </w:pBdr>
        <w:spacing w:after="120" w:line="240" w:lineRule="auto"/>
        <w:rPr>
          <w:b/>
          <w:sz w:val="20"/>
        </w:rPr>
      </w:pPr>
      <w:r w:rsidRPr="00C67487">
        <w:rPr>
          <w:b/>
          <w:sz w:val="20"/>
        </w:rPr>
        <w:t>References</w:t>
      </w:r>
    </w:p>
    <w:p w14:paraId="1E6899C0" w14:textId="77777777" w:rsidR="00653AD7" w:rsidRDefault="002A0A1C" w:rsidP="00653AD7">
      <w:pPr>
        <w:pStyle w:val="Els-keywords"/>
        <w:pBdr>
          <w:bottom w:val="single" w:sz="4" w:space="0" w:color="auto"/>
        </w:pBdr>
        <w:spacing w:after="120" w:line="240" w:lineRule="auto"/>
        <w:jc w:val="both"/>
        <w:rPr>
          <w:sz w:val="20"/>
        </w:rPr>
      </w:pPr>
      <w:r w:rsidRPr="00C67487">
        <w:rPr>
          <w:sz w:val="20"/>
        </w:rPr>
        <w:t xml:space="preserve">[1] </w:t>
      </w:r>
      <w:r w:rsidR="00E15489">
        <w:rPr>
          <w:sz w:val="20"/>
        </w:rPr>
        <w:t>J. Y</w:t>
      </w:r>
      <w:r w:rsidR="00665C88" w:rsidRPr="00665C88">
        <w:rPr>
          <w:sz w:val="20"/>
        </w:rPr>
        <w:t>.</w:t>
      </w:r>
      <w:r w:rsidR="00665C88">
        <w:rPr>
          <w:sz w:val="20"/>
        </w:rPr>
        <w:t xml:space="preserve"> </w:t>
      </w:r>
      <w:r w:rsidR="00E15489">
        <w:rPr>
          <w:sz w:val="20"/>
        </w:rPr>
        <w:t>Yang</w:t>
      </w:r>
      <w:r w:rsidR="00665C88" w:rsidRPr="00665C88">
        <w:rPr>
          <w:sz w:val="20"/>
        </w:rPr>
        <w:t xml:space="preserve">, </w:t>
      </w:r>
      <w:r w:rsidR="0078067E">
        <w:rPr>
          <w:sz w:val="20"/>
        </w:rPr>
        <w:t>“</w:t>
      </w:r>
      <w:r w:rsidR="00E15489">
        <w:rPr>
          <w:sz w:val="20"/>
        </w:rPr>
        <w:t>Development of Food-Chenical Ranking &amp; Scoring(CRS) system associated with environmental pollutants</w:t>
      </w:r>
      <w:r w:rsidR="0078067E">
        <w:rPr>
          <w:sz w:val="20"/>
        </w:rPr>
        <w:t>,</w:t>
      </w:r>
      <w:r w:rsidR="00665C88" w:rsidRPr="00665C88">
        <w:rPr>
          <w:sz w:val="20"/>
        </w:rPr>
        <w:t xml:space="preserve"> </w:t>
      </w:r>
      <w:r w:rsidR="00E15489">
        <w:rPr>
          <w:sz w:val="20"/>
        </w:rPr>
        <w:t>MFDS Report</w:t>
      </w:r>
      <w:r w:rsidR="00665C88" w:rsidRPr="00665C88">
        <w:rPr>
          <w:sz w:val="20"/>
        </w:rPr>
        <w:t xml:space="preserve">, </w:t>
      </w:r>
      <w:r w:rsidR="00E15489">
        <w:rPr>
          <w:sz w:val="20"/>
        </w:rPr>
        <w:t>08182-498</w:t>
      </w:r>
      <w:r w:rsidR="00665C88">
        <w:rPr>
          <w:sz w:val="20"/>
        </w:rPr>
        <w:t xml:space="preserve">, </w:t>
      </w:r>
      <w:r w:rsidR="00E15489">
        <w:rPr>
          <w:sz w:val="20"/>
        </w:rPr>
        <w:t>2009</w:t>
      </w:r>
      <w:r w:rsidR="00665C88">
        <w:rPr>
          <w:sz w:val="20"/>
        </w:rPr>
        <w:t>.</w:t>
      </w:r>
    </w:p>
    <w:p w14:paraId="7BC67066" w14:textId="6B9997BC" w:rsidR="003B0ABD" w:rsidRDefault="002A0A1C" w:rsidP="00653AD7">
      <w:pPr>
        <w:pStyle w:val="Els-keywords"/>
        <w:pBdr>
          <w:bottom w:val="single" w:sz="4" w:space="0" w:color="auto"/>
        </w:pBdr>
        <w:spacing w:after="120" w:line="240" w:lineRule="auto"/>
        <w:jc w:val="both"/>
        <w:rPr>
          <w:sz w:val="20"/>
        </w:rPr>
      </w:pPr>
      <w:r w:rsidRPr="00C67487">
        <w:rPr>
          <w:sz w:val="20"/>
        </w:rPr>
        <w:t xml:space="preserve">[2] </w:t>
      </w:r>
      <w:r w:rsidR="00044897">
        <w:rPr>
          <w:sz w:val="20"/>
        </w:rPr>
        <w:t>A</w:t>
      </w:r>
      <w:r w:rsidR="0078067E" w:rsidRPr="0078067E">
        <w:rPr>
          <w:sz w:val="20"/>
        </w:rPr>
        <w:t>.</w:t>
      </w:r>
      <w:r w:rsidR="00044897">
        <w:rPr>
          <w:sz w:val="20"/>
        </w:rPr>
        <w:t>Papadopoulos et al</w:t>
      </w:r>
      <w:r w:rsidR="0078067E" w:rsidRPr="0078067E">
        <w:rPr>
          <w:sz w:val="20"/>
        </w:rPr>
        <w:t xml:space="preserve">, </w:t>
      </w:r>
      <w:r w:rsidR="002537DA">
        <w:rPr>
          <w:sz w:val="20"/>
        </w:rPr>
        <w:t>“</w:t>
      </w:r>
      <w:r w:rsidR="00044897">
        <w:rPr>
          <w:sz w:val="20"/>
        </w:rPr>
        <w:t>TDS exposure project: application of the analytic hierarchy process for the prioritization of substances to be analyzed in a total diet study</w:t>
      </w:r>
      <w:r w:rsidR="002537DA">
        <w:rPr>
          <w:sz w:val="20"/>
        </w:rPr>
        <w:t>”</w:t>
      </w:r>
      <w:r w:rsidR="0078067E" w:rsidRPr="0078067E">
        <w:rPr>
          <w:sz w:val="20"/>
        </w:rPr>
        <w:t xml:space="preserve"> </w:t>
      </w:r>
      <w:r w:rsidR="00044897">
        <w:rPr>
          <w:sz w:val="20"/>
        </w:rPr>
        <w:t xml:space="preserve">Food Chem Toxicol., </w:t>
      </w:r>
      <w:r w:rsidR="002537DA">
        <w:rPr>
          <w:sz w:val="20"/>
        </w:rPr>
        <w:t xml:space="preserve">Vol. </w:t>
      </w:r>
      <w:r w:rsidR="00653AD7">
        <w:rPr>
          <w:sz w:val="20"/>
        </w:rPr>
        <w:t>76</w:t>
      </w:r>
      <w:r w:rsidR="002537DA">
        <w:rPr>
          <w:sz w:val="20"/>
        </w:rPr>
        <w:t xml:space="preserve">, </w:t>
      </w:r>
      <w:r w:rsidR="0078067E" w:rsidRPr="0078067E">
        <w:rPr>
          <w:sz w:val="20"/>
        </w:rPr>
        <w:t xml:space="preserve">pp. </w:t>
      </w:r>
      <w:r w:rsidR="00653AD7">
        <w:rPr>
          <w:sz w:val="20"/>
        </w:rPr>
        <w:t>46-53</w:t>
      </w:r>
      <w:r w:rsidR="0078067E">
        <w:rPr>
          <w:sz w:val="20"/>
        </w:rPr>
        <w:t xml:space="preserve">, </w:t>
      </w:r>
      <w:r w:rsidR="0078067E" w:rsidRPr="0078067E">
        <w:rPr>
          <w:sz w:val="20"/>
        </w:rPr>
        <w:t xml:space="preserve"> </w:t>
      </w:r>
      <w:r w:rsidR="00653AD7">
        <w:rPr>
          <w:sz w:val="20"/>
        </w:rPr>
        <w:t>2015</w:t>
      </w:r>
      <w:r w:rsidR="0078067E" w:rsidRPr="0078067E">
        <w:rPr>
          <w:sz w:val="20"/>
        </w:rPr>
        <w:t xml:space="preserve"> </w:t>
      </w:r>
    </w:p>
    <w:p w14:paraId="7E5EFA75" w14:textId="77777777" w:rsidR="00EB7A1A" w:rsidRPr="00EB7A1A" w:rsidRDefault="00EB7A1A" w:rsidP="00EB7A1A">
      <w:pPr>
        <w:rPr>
          <w:lang w:val="en-US"/>
        </w:rPr>
      </w:pPr>
    </w:p>
    <w:sectPr w:rsidR="00EB7A1A" w:rsidRPr="00EB7A1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B14C6" w14:textId="77777777" w:rsidR="002552A6" w:rsidRDefault="002552A6" w:rsidP="00431340">
      <w:pPr>
        <w:spacing w:after="0" w:line="240" w:lineRule="auto"/>
      </w:pPr>
      <w:r>
        <w:separator/>
      </w:r>
    </w:p>
  </w:endnote>
  <w:endnote w:type="continuationSeparator" w:id="0">
    <w:p w14:paraId="5575C633" w14:textId="77777777" w:rsidR="002552A6" w:rsidRDefault="002552A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694A5" w14:textId="77777777" w:rsidR="002552A6" w:rsidRDefault="002552A6" w:rsidP="00431340">
      <w:pPr>
        <w:spacing w:after="0" w:line="240" w:lineRule="auto"/>
      </w:pPr>
      <w:r>
        <w:separator/>
      </w:r>
    </w:p>
  </w:footnote>
  <w:footnote w:type="continuationSeparator" w:id="0">
    <w:p w14:paraId="7B3D90F3" w14:textId="77777777" w:rsidR="002552A6" w:rsidRDefault="002552A6" w:rsidP="00431340">
      <w:pPr>
        <w:spacing w:after="0" w:line="240" w:lineRule="auto"/>
      </w:pPr>
      <w:r>
        <w:continuationSeparator/>
      </w:r>
    </w:p>
  </w:footnote>
  <w:footnote w:id="1">
    <w:p w14:paraId="1DA89215" w14:textId="18DE7AFB"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2F4155">
        <w:rPr>
          <w:sz w:val="18"/>
          <w:szCs w:val="18"/>
        </w:rPr>
        <w:t>mskfdahwang63</w:t>
      </w:r>
      <w:r w:rsidR="004C7508" w:rsidRPr="004C7508">
        <w:rPr>
          <w:sz w:val="18"/>
          <w:szCs w:val="18"/>
          <w:lang w:val="nb-NO"/>
        </w:rPr>
        <w:t>@</w:t>
      </w:r>
      <w:r w:rsidR="002F4155">
        <w:rPr>
          <w:sz w:val="18"/>
          <w:szCs w:val="18"/>
          <w:lang w:val="nb-NO"/>
        </w:rPr>
        <w:t>daum.net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44897"/>
    <w:rsid w:val="00096745"/>
    <w:rsid w:val="001C51B3"/>
    <w:rsid w:val="00234209"/>
    <w:rsid w:val="002537DA"/>
    <w:rsid w:val="002552A6"/>
    <w:rsid w:val="002A0A1C"/>
    <w:rsid w:val="002A2B3C"/>
    <w:rsid w:val="002E5A60"/>
    <w:rsid w:val="002F4155"/>
    <w:rsid w:val="00372579"/>
    <w:rsid w:val="003B0ABD"/>
    <w:rsid w:val="00431340"/>
    <w:rsid w:val="004B7E87"/>
    <w:rsid w:val="004C7508"/>
    <w:rsid w:val="004D1125"/>
    <w:rsid w:val="0059506C"/>
    <w:rsid w:val="005B77D8"/>
    <w:rsid w:val="00646E7D"/>
    <w:rsid w:val="00653AD7"/>
    <w:rsid w:val="00654033"/>
    <w:rsid w:val="00665C88"/>
    <w:rsid w:val="00673656"/>
    <w:rsid w:val="006D3652"/>
    <w:rsid w:val="0070599D"/>
    <w:rsid w:val="007679DD"/>
    <w:rsid w:val="00772B06"/>
    <w:rsid w:val="007752C7"/>
    <w:rsid w:val="0078067E"/>
    <w:rsid w:val="00781D43"/>
    <w:rsid w:val="00827794"/>
    <w:rsid w:val="009C71BA"/>
    <w:rsid w:val="00B417A4"/>
    <w:rsid w:val="00BE265A"/>
    <w:rsid w:val="00BF77A7"/>
    <w:rsid w:val="00C17F75"/>
    <w:rsid w:val="00C4616B"/>
    <w:rsid w:val="00C67487"/>
    <w:rsid w:val="00CC179B"/>
    <w:rsid w:val="00D10E69"/>
    <w:rsid w:val="00D753D4"/>
    <w:rsid w:val="00DD4FF9"/>
    <w:rsid w:val="00E1300F"/>
    <w:rsid w:val="00E15489"/>
    <w:rsid w:val="00EB7A1A"/>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바탕"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a3">
    <w:name w:val="header"/>
    <w:basedOn w:val="a"/>
    <w:link w:val="Char"/>
    <w:uiPriority w:val="99"/>
    <w:unhideWhenUsed/>
    <w:rsid w:val="00D10E69"/>
    <w:pPr>
      <w:tabs>
        <w:tab w:val="center" w:pos="4513"/>
        <w:tab w:val="right" w:pos="9026"/>
      </w:tabs>
      <w:spacing w:after="0" w:line="240" w:lineRule="auto"/>
    </w:pPr>
  </w:style>
  <w:style w:type="character" w:customStyle="1" w:styleId="Char">
    <w:name w:val="머리글 Char"/>
    <w:basedOn w:val="a0"/>
    <w:link w:val="a3"/>
    <w:uiPriority w:val="99"/>
    <w:rsid w:val="00D10E69"/>
  </w:style>
  <w:style w:type="paragraph" w:styleId="a4">
    <w:name w:val="footer"/>
    <w:basedOn w:val="a"/>
    <w:link w:val="Char0"/>
    <w:uiPriority w:val="99"/>
    <w:unhideWhenUsed/>
    <w:rsid w:val="00D10E69"/>
    <w:pPr>
      <w:tabs>
        <w:tab w:val="center" w:pos="4513"/>
        <w:tab w:val="right" w:pos="9026"/>
      </w:tabs>
      <w:spacing w:after="0" w:line="240" w:lineRule="auto"/>
    </w:pPr>
  </w:style>
  <w:style w:type="character" w:customStyle="1" w:styleId="Char0">
    <w:name w:val="바닥글 Char"/>
    <w:basedOn w:val="a0"/>
    <w:link w:val="a4"/>
    <w:uiPriority w:val="99"/>
    <w:rsid w:val="00D10E69"/>
  </w:style>
  <w:style w:type="paragraph" w:styleId="a5">
    <w:name w:val="Normal (Web)"/>
    <w:basedOn w:val="a"/>
    <w:uiPriority w:val="99"/>
    <w:semiHidden/>
    <w:unhideWhenUsed/>
    <w:rsid w:val="002F41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59929">
      <w:bodyDiv w:val="1"/>
      <w:marLeft w:val="0"/>
      <w:marRight w:val="0"/>
      <w:marTop w:val="0"/>
      <w:marBottom w:val="0"/>
      <w:divBdr>
        <w:top w:val="none" w:sz="0" w:space="0" w:color="auto"/>
        <w:left w:val="none" w:sz="0" w:space="0" w:color="auto"/>
        <w:bottom w:val="none" w:sz="0" w:space="0" w:color="auto"/>
        <w:right w:val="none" w:sz="0" w:space="0" w:color="auto"/>
      </w:divBdr>
    </w:div>
    <w:div w:id="224024525">
      <w:bodyDiv w:val="1"/>
      <w:marLeft w:val="0"/>
      <w:marRight w:val="0"/>
      <w:marTop w:val="0"/>
      <w:marBottom w:val="0"/>
      <w:divBdr>
        <w:top w:val="none" w:sz="0" w:space="0" w:color="auto"/>
        <w:left w:val="none" w:sz="0" w:space="0" w:color="auto"/>
        <w:bottom w:val="none" w:sz="0" w:space="0" w:color="auto"/>
        <w:right w:val="none" w:sz="0" w:space="0" w:color="auto"/>
      </w:divBdr>
    </w:div>
    <w:div w:id="642809059">
      <w:bodyDiv w:val="1"/>
      <w:marLeft w:val="0"/>
      <w:marRight w:val="0"/>
      <w:marTop w:val="0"/>
      <w:marBottom w:val="0"/>
      <w:divBdr>
        <w:top w:val="none" w:sz="0" w:space="0" w:color="auto"/>
        <w:left w:val="none" w:sz="0" w:space="0" w:color="auto"/>
        <w:bottom w:val="none" w:sz="0" w:space="0" w:color="auto"/>
        <w:right w:val="none" w:sz="0" w:space="0" w:color="auto"/>
      </w:divBdr>
    </w:div>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 w:id="167838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BD4D809E-1919-499F-A56B-7E9B019E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756</Words>
  <Characters>4313</Characters>
  <Application>Microsoft Office Word</Application>
  <DocSecurity>0</DocSecurity>
  <Lines>35</Lines>
  <Paragraphs>10</Paragraphs>
  <ScaleCrop>false</ScaleCrop>
  <HeadingPairs>
    <vt:vector size="6" baseType="variant">
      <vt:variant>
        <vt:lpstr>제목</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NTNU</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hoem</cp:lastModifiedBy>
  <cp:revision>8</cp:revision>
  <cp:lastPrinted>2026-04-22T02:14:00Z</cp:lastPrinted>
  <dcterms:created xsi:type="dcterms:W3CDTF">2026-04-22T01:43:00Z</dcterms:created>
  <dcterms:modified xsi:type="dcterms:W3CDTF">2026-04-22T02:27:00Z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