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6D9D2" w14:textId="77777777" w:rsidR="00990CBB" w:rsidRDefault="00990CBB" w:rsidP="00990CBB">
      <w:pPr>
        <w:pStyle w:val="DocHead"/>
        <w:spacing w:before="0" w:after="0"/>
        <w:ind w:left="-119" w:right="-136" w:firstLine="119"/>
      </w:pPr>
      <w:r>
        <w:t>SIFF 2026</w:t>
      </w:r>
    </w:p>
    <w:p w14:paraId="7BE9D3F4" w14:textId="15406139" w:rsidR="00990CBB" w:rsidRPr="00CC4CC3" w:rsidRDefault="00990CBB" w:rsidP="00CC4CC3">
      <w:pPr>
        <w:pStyle w:val="DocHead"/>
        <w:spacing w:before="0" w:after="0"/>
        <w:ind w:left="-119" w:right="-136" w:firstLine="119"/>
      </w:pPr>
      <w:r>
        <w:t>Singapore International Food Forum 2026</w:t>
      </w:r>
      <w:r>
        <w:br/>
      </w:r>
    </w:p>
    <w:p w14:paraId="4BC7636A" w14:textId="70FB8352" w:rsidR="003D4985" w:rsidRPr="00CC4CC3" w:rsidRDefault="00132904">
      <w:pPr>
        <w:jc w:val="center"/>
        <w:rPr>
          <w:rFonts w:ascii="Times New Roman" w:hAnsi="Times New Roman" w:cs="Times New Roman"/>
          <w:sz w:val="32"/>
          <w:szCs w:val="32"/>
        </w:rPr>
      </w:pPr>
      <w:r w:rsidRPr="00CC4CC3">
        <w:rPr>
          <w:rFonts w:ascii="Times New Roman" w:hAnsi="Times New Roman" w:cs="Times New Roman"/>
          <w:sz w:val="32"/>
          <w:szCs w:val="32"/>
        </w:rPr>
        <w:t>A systematic review and meta-analysis of the effect of dietary protein on cognitive function</w:t>
      </w:r>
    </w:p>
    <w:p w14:paraId="4BC7636B" w14:textId="77777777" w:rsidR="003D4985" w:rsidRPr="00CC4CC3" w:rsidRDefault="00132904">
      <w:pPr>
        <w:jc w:val="center"/>
        <w:rPr>
          <w:rFonts w:ascii="Times New Roman" w:hAnsi="Times New Roman" w:cs="Times New Roman"/>
          <w:sz w:val="24"/>
        </w:rPr>
      </w:pPr>
      <w:r w:rsidRPr="00CC4CC3">
        <w:rPr>
          <w:rFonts w:ascii="Times New Roman" w:hAnsi="Times New Roman" w:cs="Times New Roman"/>
          <w:sz w:val="24"/>
        </w:rPr>
        <w:t>Li Shuqi, MSc</w:t>
      </w:r>
      <w:r w:rsidRPr="00CC4CC3">
        <w:rPr>
          <w:rFonts w:ascii="Times New Roman" w:hAnsi="Times New Roman" w:cs="Times New Roman"/>
          <w:sz w:val="24"/>
          <w:vertAlign w:val="superscript"/>
        </w:rPr>
        <w:t>1</w:t>
      </w:r>
      <w:r w:rsidRPr="00CC4CC3">
        <w:rPr>
          <w:rFonts w:ascii="Times New Roman" w:hAnsi="Times New Roman" w:cs="Times New Roman"/>
          <w:sz w:val="24"/>
        </w:rPr>
        <w:t>; Khu Wei Xi, MSc</w:t>
      </w:r>
      <w:r w:rsidRPr="00CC4CC3">
        <w:rPr>
          <w:rFonts w:ascii="Times New Roman" w:hAnsi="Times New Roman" w:cs="Times New Roman"/>
          <w:sz w:val="24"/>
          <w:vertAlign w:val="superscript"/>
        </w:rPr>
        <w:t>1</w:t>
      </w:r>
      <w:r w:rsidRPr="00CC4CC3">
        <w:rPr>
          <w:rFonts w:ascii="Times New Roman" w:hAnsi="Times New Roman" w:cs="Times New Roman"/>
          <w:sz w:val="24"/>
        </w:rPr>
        <w:t>; Kim Jung Eun, PhD, RD</w:t>
      </w:r>
      <w:r w:rsidRPr="00CC4CC3">
        <w:rPr>
          <w:rFonts w:ascii="Times New Roman" w:hAnsi="Times New Roman" w:cs="Times New Roman"/>
          <w:sz w:val="24"/>
          <w:vertAlign w:val="superscript"/>
        </w:rPr>
        <w:t>1, 2*</w:t>
      </w:r>
    </w:p>
    <w:p w14:paraId="4BC7636C" w14:textId="77777777" w:rsidR="003D4985" w:rsidRPr="00CC4CC3" w:rsidRDefault="00132904">
      <w:pPr>
        <w:jc w:val="center"/>
        <w:rPr>
          <w:rFonts w:ascii="Times New Roman" w:hAnsi="Times New Roman" w:cs="Times New Roman"/>
          <w:sz w:val="16"/>
          <w:szCs w:val="16"/>
        </w:rPr>
      </w:pPr>
      <w:r w:rsidRPr="00CC4CC3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CC4CC3">
        <w:rPr>
          <w:rFonts w:ascii="Times New Roman" w:hAnsi="Times New Roman" w:cs="Times New Roman"/>
          <w:sz w:val="16"/>
          <w:szCs w:val="16"/>
        </w:rPr>
        <w:t>Department of Food Science and Technology, National University of Singapore, Singapore</w:t>
      </w:r>
    </w:p>
    <w:p w14:paraId="4BC7636D" w14:textId="77777777" w:rsidR="003D4985" w:rsidRPr="00CC4CC3" w:rsidRDefault="00132904">
      <w:pPr>
        <w:jc w:val="center"/>
        <w:rPr>
          <w:rFonts w:ascii="Times New Roman" w:hAnsi="Times New Roman" w:cs="Times New Roman"/>
          <w:sz w:val="16"/>
          <w:szCs w:val="16"/>
        </w:rPr>
      </w:pPr>
      <w:r w:rsidRPr="00CC4CC3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Pr="00CC4CC3">
        <w:rPr>
          <w:rFonts w:ascii="Times New Roman" w:hAnsi="Times New Roman" w:cs="Times New Roman"/>
          <w:sz w:val="16"/>
          <w:szCs w:val="16"/>
        </w:rPr>
        <w:t xml:space="preserve"> Bezos Center for Sustainable Protein, National University of Singapore, Singapore</w:t>
      </w:r>
    </w:p>
    <w:p w14:paraId="4BC7636E" w14:textId="77777777" w:rsidR="003D4985" w:rsidRPr="00CC4CC3" w:rsidRDefault="00132904">
      <w:pPr>
        <w:jc w:val="center"/>
        <w:rPr>
          <w:rFonts w:ascii="Times New Roman" w:hAnsi="Times New Roman" w:cs="Times New Roman"/>
          <w:sz w:val="16"/>
          <w:szCs w:val="16"/>
        </w:rPr>
      </w:pPr>
      <w:r w:rsidRPr="00CC4CC3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Pr="00CC4CC3">
        <w:rPr>
          <w:rFonts w:ascii="Times New Roman" w:hAnsi="Times New Roman" w:cs="Times New Roman"/>
          <w:sz w:val="16"/>
          <w:szCs w:val="16"/>
        </w:rPr>
        <w:t>Corresponding author</w:t>
      </w:r>
    </w:p>
    <w:p w14:paraId="4BC7636F" w14:textId="77777777" w:rsidR="003D4985" w:rsidRPr="00CC4CC3" w:rsidRDefault="003D4985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</w:rPr>
      </w:pPr>
    </w:p>
    <w:p w14:paraId="4BC76370" w14:textId="77777777" w:rsidR="003D4985" w:rsidRPr="00CC4CC3" w:rsidRDefault="00132904">
      <w:pPr>
        <w:rPr>
          <w:rFonts w:ascii="Times New Roman" w:eastAsia="DengXian" w:hAnsi="Times New Roman" w:cs="Times New Roman"/>
          <w:b/>
          <w:bCs/>
          <w:sz w:val="20"/>
          <w:szCs w:val="20"/>
        </w:rPr>
      </w:pPr>
      <w:r w:rsidRPr="00CC4CC3">
        <w:rPr>
          <w:rFonts w:ascii="Times New Roman" w:hAnsi="Times New Roman" w:cs="Times New Roman"/>
          <w:b/>
          <w:bCs/>
          <w:sz w:val="20"/>
          <w:szCs w:val="20"/>
        </w:rPr>
        <w:t>Abstract</w:t>
      </w:r>
    </w:p>
    <w:p w14:paraId="4BC76371" w14:textId="01A39B47" w:rsidR="003D4985" w:rsidRPr="00CC4CC3" w:rsidRDefault="00132904">
      <w:pPr>
        <w:rPr>
          <w:rFonts w:ascii="Times New Roman" w:hAnsi="Times New Roman" w:cs="Times New Roman"/>
          <w:sz w:val="20"/>
          <w:szCs w:val="20"/>
        </w:rPr>
      </w:pPr>
      <w:bookmarkStart w:id="0" w:name="OLE_LINK2"/>
      <w:r w:rsidRPr="00CC4CC3">
        <w:rPr>
          <w:rFonts w:ascii="Times New Roman" w:hAnsi="Times New Roman" w:cs="Times New Roman"/>
          <w:i/>
          <w:iCs/>
          <w:sz w:val="20"/>
          <w:szCs w:val="20"/>
        </w:rPr>
        <w:t>Background:</w:t>
      </w:r>
      <w:r w:rsidRPr="00CC4CC3">
        <w:rPr>
          <w:rFonts w:ascii="Times New Roman" w:hAnsi="Times New Roman" w:cs="Times New Roman"/>
          <w:sz w:val="20"/>
          <w:szCs w:val="20"/>
        </w:rPr>
        <w:t xml:space="preserve"> Dietary protein has been proposed as a</w:t>
      </w:r>
      <w:r w:rsidR="00990CBB" w:rsidRPr="00CC4CC3">
        <w:rPr>
          <w:rFonts w:ascii="Times New Roman" w:hAnsi="Times New Roman" w:cs="Times New Roman"/>
          <w:sz w:val="20"/>
          <w:szCs w:val="20"/>
        </w:rPr>
        <w:t xml:space="preserve"> beneficial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211A13">
        <w:rPr>
          <w:rFonts w:ascii="Times New Roman" w:hAnsi="Times New Roman" w:cs="Times New Roman" w:hint="eastAsia"/>
          <w:sz w:val="20"/>
          <w:szCs w:val="20"/>
        </w:rPr>
        <w:t xml:space="preserve">nutrient for </w:t>
      </w:r>
      <w:r w:rsidRPr="00CC4CC3">
        <w:rPr>
          <w:rFonts w:ascii="Times New Roman" w:hAnsi="Times New Roman" w:cs="Times New Roman"/>
          <w:sz w:val="20"/>
          <w:szCs w:val="20"/>
        </w:rPr>
        <w:t xml:space="preserve">cognitive health, but </w:t>
      </w:r>
      <w:r w:rsidR="00CF3EC8">
        <w:rPr>
          <w:rFonts w:ascii="Times New Roman" w:hAnsi="Times New Roman" w:cs="Times New Roman" w:hint="eastAsia"/>
          <w:sz w:val="20"/>
          <w:szCs w:val="20"/>
        </w:rPr>
        <w:t xml:space="preserve">current </w:t>
      </w:r>
      <w:r w:rsidRPr="00CC4CC3">
        <w:rPr>
          <w:rFonts w:ascii="Times New Roman" w:hAnsi="Times New Roman" w:cs="Times New Roman"/>
          <w:sz w:val="20"/>
          <w:szCs w:val="20"/>
        </w:rPr>
        <w:t xml:space="preserve">evidence remains inconsistent across </w:t>
      </w:r>
      <w:r w:rsidR="00211A13" w:rsidRPr="00211A13">
        <w:rPr>
          <w:rFonts w:ascii="Times New Roman" w:hAnsi="Times New Roman" w:cs="Times New Roman"/>
          <w:sz w:val="20"/>
          <w:szCs w:val="20"/>
        </w:rPr>
        <w:t xml:space="preserve">protein sources, doses, </w:t>
      </w:r>
      <w:r w:rsidR="007C7A72">
        <w:rPr>
          <w:rFonts w:ascii="Times New Roman" w:hAnsi="Times New Roman" w:cs="Times New Roman"/>
          <w:sz w:val="20"/>
          <w:szCs w:val="20"/>
        </w:rPr>
        <w:t xml:space="preserve">and </w:t>
      </w:r>
      <w:r w:rsidR="00211A13" w:rsidRPr="00211A13">
        <w:rPr>
          <w:rFonts w:ascii="Times New Roman" w:hAnsi="Times New Roman" w:cs="Times New Roman"/>
          <w:sz w:val="20"/>
          <w:szCs w:val="20"/>
        </w:rPr>
        <w:t>intervention durations</w:t>
      </w:r>
      <w:r w:rsidR="002024B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024B1" w:rsidRPr="002024B1">
        <w:rPr>
          <w:rFonts w:ascii="Times New Roman" w:hAnsi="Times New Roman" w:cs="Times New Roman"/>
          <w:sz w:val="20"/>
          <w:szCs w:val="20"/>
        </w:rPr>
        <w:t>[1, 2]</w:t>
      </w:r>
      <w:r w:rsidRPr="00CC4CC3">
        <w:rPr>
          <w:rFonts w:ascii="Times New Roman" w:hAnsi="Times New Roman" w:cs="Times New Roman"/>
          <w:sz w:val="20"/>
          <w:szCs w:val="20"/>
        </w:rPr>
        <w:t xml:space="preserve">. </w:t>
      </w:r>
      <w:r w:rsidR="00D83D73" w:rsidRPr="00CC4CC3">
        <w:rPr>
          <w:rFonts w:ascii="Times New Roman" w:hAnsi="Times New Roman" w:cs="Times New Roman"/>
          <w:sz w:val="20"/>
          <w:szCs w:val="20"/>
        </w:rPr>
        <w:t>Therefore, t</w:t>
      </w:r>
      <w:r w:rsidRPr="00CC4CC3">
        <w:rPr>
          <w:rFonts w:ascii="Times New Roman" w:hAnsi="Times New Roman" w:cs="Times New Roman"/>
          <w:sz w:val="20"/>
          <w:szCs w:val="20"/>
        </w:rPr>
        <w:t xml:space="preserve">his systematic review and meta-analysis aimed to evaluate the </w:t>
      </w:r>
      <w:r w:rsidR="000C4698" w:rsidRPr="00CC4CC3">
        <w:rPr>
          <w:rFonts w:ascii="Times New Roman" w:hAnsi="Times New Roman" w:cs="Times New Roman"/>
          <w:sz w:val="20"/>
          <w:szCs w:val="20"/>
        </w:rPr>
        <w:t>effect of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E67D60" w:rsidRPr="00CC4CC3">
        <w:rPr>
          <w:rFonts w:ascii="Times New Roman" w:hAnsi="Times New Roman" w:cs="Times New Roman"/>
          <w:sz w:val="20"/>
          <w:szCs w:val="20"/>
        </w:rPr>
        <w:t xml:space="preserve">higher </w:t>
      </w:r>
      <w:r w:rsidRPr="00CC4CC3">
        <w:rPr>
          <w:rFonts w:ascii="Times New Roman" w:hAnsi="Times New Roman" w:cs="Times New Roman"/>
          <w:sz w:val="20"/>
          <w:szCs w:val="20"/>
        </w:rPr>
        <w:t xml:space="preserve">dietary protein </w:t>
      </w:r>
      <w:r w:rsidR="000C4698" w:rsidRPr="00CC4CC3">
        <w:rPr>
          <w:rFonts w:ascii="Times New Roman" w:hAnsi="Times New Roman" w:cs="Times New Roman"/>
          <w:sz w:val="20"/>
          <w:szCs w:val="20"/>
        </w:rPr>
        <w:t xml:space="preserve">intake </w:t>
      </w:r>
      <w:r w:rsidR="00CF3EC8">
        <w:rPr>
          <w:rFonts w:ascii="Times New Roman" w:hAnsi="Times New Roman" w:cs="Times New Roman" w:hint="eastAsia"/>
          <w:sz w:val="20"/>
          <w:szCs w:val="20"/>
        </w:rPr>
        <w:t>on</w:t>
      </w:r>
      <w:r w:rsidRPr="00CC4CC3">
        <w:rPr>
          <w:rFonts w:ascii="Times New Roman" w:hAnsi="Times New Roman" w:cs="Times New Roman"/>
          <w:sz w:val="20"/>
          <w:szCs w:val="20"/>
        </w:rPr>
        <w:t xml:space="preserve"> cognitive function in adults and </w:t>
      </w:r>
      <w:r w:rsidR="000C4698" w:rsidRPr="00CC4CC3">
        <w:rPr>
          <w:rFonts w:ascii="Times New Roman" w:hAnsi="Times New Roman" w:cs="Times New Roman"/>
          <w:sz w:val="20"/>
          <w:szCs w:val="20"/>
        </w:rPr>
        <w:t>further</w:t>
      </w:r>
      <w:r w:rsidRPr="00CC4CC3">
        <w:rPr>
          <w:rFonts w:ascii="Times New Roman" w:hAnsi="Times New Roman" w:cs="Times New Roman"/>
          <w:sz w:val="20"/>
          <w:szCs w:val="20"/>
        </w:rPr>
        <w:t xml:space="preserve"> examine</w:t>
      </w:r>
      <w:r w:rsidR="000C4698" w:rsidRPr="00CC4CC3">
        <w:rPr>
          <w:rFonts w:ascii="Times New Roman" w:hAnsi="Times New Roman" w:cs="Times New Roman"/>
          <w:sz w:val="20"/>
          <w:szCs w:val="20"/>
        </w:rPr>
        <w:t xml:space="preserve">d </w:t>
      </w:r>
      <w:r w:rsidR="00211A13">
        <w:rPr>
          <w:rFonts w:ascii="Times New Roman" w:hAnsi="Times New Roman" w:cs="Times New Roman" w:hint="eastAsia"/>
          <w:sz w:val="20"/>
          <w:szCs w:val="20"/>
        </w:rPr>
        <w:t xml:space="preserve">it </w:t>
      </w:r>
      <w:r w:rsidR="000C4698" w:rsidRPr="00CC4CC3">
        <w:rPr>
          <w:rFonts w:ascii="Times New Roman" w:hAnsi="Times New Roman" w:cs="Times New Roman"/>
          <w:sz w:val="20"/>
          <w:szCs w:val="20"/>
        </w:rPr>
        <w:t>based on</w:t>
      </w:r>
      <w:r w:rsidRPr="00CC4CC3">
        <w:rPr>
          <w:rFonts w:ascii="Times New Roman" w:hAnsi="Times New Roman" w:cs="Times New Roman"/>
          <w:sz w:val="20"/>
          <w:szCs w:val="20"/>
        </w:rPr>
        <w:t xml:space="preserve"> protein source</w:t>
      </w:r>
      <w:r w:rsidR="00211A13">
        <w:rPr>
          <w:rFonts w:ascii="Times New Roman" w:hAnsi="Times New Roman" w:cs="Times New Roman" w:hint="eastAsia"/>
          <w:sz w:val="20"/>
          <w:szCs w:val="20"/>
        </w:rPr>
        <w:t xml:space="preserve"> and</w:t>
      </w:r>
      <w:r w:rsidR="00211A13">
        <w:rPr>
          <w:rFonts w:ascii="Times New Roman" w:hAnsi="Times New Roman" w:cs="Times New Roman"/>
          <w:sz w:val="20"/>
          <w:szCs w:val="20"/>
        </w:rPr>
        <w:t xml:space="preserve"> intervention duration</w:t>
      </w:r>
      <w:r w:rsidRPr="00CC4CC3">
        <w:rPr>
          <w:rFonts w:ascii="Times New Roman" w:hAnsi="Times New Roman" w:cs="Times New Roman"/>
          <w:sz w:val="20"/>
          <w:szCs w:val="20"/>
        </w:rPr>
        <w:t xml:space="preserve">. </w:t>
      </w:r>
      <w:r w:rsidRPr="00CC4CC3">
        <w:rPr>
          <w:rFonts w:ascii="Times New Roman" w:hAnsi="Times New Roman" w:cs="Times New Roman"/>
          <w:i/>
          <w:iCs/>
          <w:sz w:val="20"/>
          <w:szCs w:val="20"/>
        </w:rPr>
        <w:t>Methods:</w:t>
      </w:r>
      <w:r w:rsidRPr="00CC4CC3">
        <w:rPr>
          <w:rFonts w:ascii="Times New Roman" w:hAnsi="Times New Roman" w:cs="Times New Roman"/>
          <w:sz w:val="20"/>
          <w:szCs w:val="20"/>
        </w:rPr>
        <w:t xml:space="preserve"> A systematic search of PubMed, CINAHL, Cochrane Library, and Embase was conducted</w:t>
      </w:r>
      <w:r w:rsidR="009172F6">
        <w:rPr>
          <w:rFonts w:ascii="Times New Roman" w:hAnsi="Times New Roman" w:cs="Times New Roman" w:hint="eastAsia"/>
          <w:sz w:val="20"/>
          <w:szCs w:val="20"/>
        </w:rPr>
        <w:t>,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9F344E" w:rsidRPr="00CC4CC3">
        <w:rPr>
          <w:rFonts w:ascii="Times New Roman" w:hAnsi="Times New Roman" w:cs="Times New Roman"/>
          <w:sz w:val="20"/>
          <w:szCs w:val="20"/>
        </w:rPr>
        <w:t>and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9F344E" w:rsidRPr="00CC4CC3">
        <w:rPr>
          <w:rFonts w:ascii="Times New Roman" w:hAnsi="Times New Roman" w:cs="Times New Roman"/>
          <w:sz w:val="20"/>
          <w:szCs w:val="20"/>
        </w:rPr>
        <w:t>data from eligible r</w:t>
      </w:r>
      <w:r w:rsidRPr="00CC4CC3">
        <w:rPr>
          <w:rFonts w:ascii="Times New Roman" w:hAnsi="Times New Roman" w:cs="Times New Roman"/>
          <w:sz w:val="20"/>
          <w:szCs w:val="20"/>
        </w:rPr>
        <w:t>andomized controlled trials</w:t>
      </w:r>
      <w:r w:rsidR="006A675F" w:rsidRPr="00CC4CC3">
        <w:rPr>
          <w:rFonts w:ascii="Times New Roman" w:hAnsi="Times New Roman" w:cs="Times New Roman"/>
          <w:sz w:val="20"/>
          <w:szCs w:val="20"/>
        </w:rPr>
        <w:t xml:space="preserve"> (RCTs)</w:t>
      </w:r>
      <w:r w:rsidRPr="00CC4CC3">
        <w:rPr>
          <w:rFonts w:ascii="Times New Roman" w:hAnsi="Times New Roman" w:cs="Times New Roman"/>
          <w:sz w:val="20"/>
          <w:szCs w:val="20"/>
        </w:rPr>
        <w:t xml:space="preserve"> and observational studies</w:t>
      </w:r>
      <w:r w:rsidR="009F344E"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CE70E9" w:rsidRPr="00CE70E9">
        <w:rPr>
          <w:rFonts w:ascii="Times New Roman" w:hAnsi="Times New Roman" w:cs="Times New Roman"/>
          <w:sz w:val="20"/>
          <w:szCs w:val="20"/>
        </w:rPr>
        <w:t>that examined dietary protein supplementation or compared higher versus lower protein intake</w:t>
      </w:r>
      <w:r w:rsidR="00CE70E9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11A13">
        <w:rPr>
          <w:rFonts w:ascii="Times New Roman" w:hAnsi="Times New Roman" w:cs="Times New Roman" w:hint="eastAsia"/>
          <w:sz w:val="20"/>
          <w:szCs w:val="20"/>
        </w:rPr>
        <w:t xml:space="preserve">were </w:t>
      </w:r>
      <w:r w:rsidR="009F344E" w:rsidRPr="00CC4CC3">
        <w:rPr>
          <w:rFonts w:ascii="Times New Roman" w:hAnsi="Times New Roman" w:cs="Times New Roman"/>
          <w:sz w:val="20"/>
          <w:szCs w:val="20"/>
        </w:rPr>
        <w:t>collected</w:t>
      </w:r>
      <w:r w:rsidRPr="00CC4CC3">
        <w:rPr>
          <w:rFonts w:ascii="Times New Roman" w:hAnsi="Times New Roman" w:cs="Times New Roman"/>
          <w:sz w:val="20"/>
          <w:szCs w:val="20"/>
        </w:rPr>
        <w:t xml:space="preserve">. Random-effects models were used to calculate standardized mean differences (SMDs) and 95% confidence intervals (CIs). Subgroup analysis by protein source and intervention duration was conducted. </w:t>
      </w:r>
      <w:r w:rsidRPr="00CC4CC3">
        <w:rPr>
          <w:rFonts w:ascii="Times New Roman" w:hAnsi="Times New Roman" w:cs="Times New Roman"/>
          <w:i/>
          <w:iCs/>
          <w:sz w:val="20"/>
          <w:szCs w:val="20"/>
        </w:rPr>
        <w:t>Results:</w:t>
      </w:r>
      <w:r w:rsidRPr="00CC4CC3">
        <w:rPr>
          <w:rFonts w:ascii="Times New Roman" w:hAnsi="Times New Roman" w:cs="Times New Roman"/>
          <w:sz w:val="20"/>
          <w:szCs w:val="20"/>
        </w:rPr>
        <w:t xml:space="preserve"> Fourteen studies (13 </w:t>
      </w:r>
      <w:r w:rsidR="006A675F" w:rsidRPr="00CC4CC3">
        <w:rPr>
          <w:rFonts w:ascii="Times New Roman" w:hAnsi="Times New Roman" w:cs="Times New Roman"/>
          <w:sz w:val="20"/>
          <w:szCs w:val="20"/>
        </w:rPr>
        <w:t>RCTs</w:t>
      </w:r>
      <w:r w:rsidRPr="00CC4CC3">
        <w:rPr>
          <w:rFonts w:ascii="Times New Roman" w:hAnsi="Times New Roman" w:cs="Times New Roman"/>
          <w:sz w:val="20"/>
          <w:szCs w:val="20"/>
        </w:rPr>
        <w:t xml:space="preserve"> and 1 observational study; n=1048) were included in the systematic review, and 6 </w:t>
      </w:r>
      <w:r w:rsidR="006A675F" w:rsidRPr="00CC4CC3">
        <w:rPr>
          <w:rFonts w:ascii="Times New Roman" w:hAnsi="Times New Roman" w:cs="Times New Roman"/>
          <w:sz w:val="20"/>
          <w:szCs w:val="20"/>
        </w:rPr>
        <w:t>RCTs</w:t>
      </w:r>
      <w:r w:rsidRPr="00CC4CC3">
        <w:rPr>
          <w:rFonts w:ascii="Times New Roman" w:hAnsi="Times New Roman" w:cs="Times New Roman"/>
          <w:sz w:val="20"/>
          <w:szCs w:val="20"/>
        </w:rPr>
        <w:t xml:space="preserve"> were included in the meta-analysis. Overall pooled analyses showed no significant effect of </w:t>
      </w:r>
      <w:r w:rsidR="00052BED">
        <w:rPr>
          <w:rFonts w:ascii="Times New Roman" w:hAnsi="Times New Roman" w:cs="Times New Roman"/>
          <w:sz w:val="20"/>
          <w:szCs w:val="20"/>
        </w:rPr>
        <w:t xml:space="preserve">higher </w:t>
      </w:r>
      <w:r w:rsidRPr="00CC4CC3">
        <w:rPr>
          <w:rFonts w:ascii="Times New Roman" w:hAnsi="Times New Roman" w:cs="Times New Roman"/>
          <w:sz w:val="20"/>
          <w:szCs w:val="20"/>
        </w:rPr>
        <w:t xml:space="preserve">dietary protein </w:t>
      </w:r>
      <w:r w:rsidR="00FA5A0C">
        <w:rPr>
          <w:rFonts w:ascii="Times New Roman" w:hAnsi="Times New Roman" w:cs="Times New Roman"/>
          <w:sz w:val="20"/>
          <w:szCs w:val="20"/>
        </w:rPr>
        <w:t xml:space="preserve">intake </w:t>
      </w:r>
      <w:r w:rsidRPr="00CC4CC3">
        <w:rPr>
          <w:rFonts w:ascii="Times New Roman" w:hAnsi="Times New Roman" w:cs="Times New Roman"/>
          <w:sz w:val="20"/>
          <w:szCs w:val="20"/>
        </w:rPr>
        <w:t xml:space="preserve">on overall cognitive function (SMD = 0.26; 95% CI: -0.08, 0.60), executive function (SMD = 0.34; 95% CI: -0.17, 0.85), memory and learning (SMD = 0.08; 95% CI: -0.17, 0.33), attention (SMD = -0.03; 95% CI: -0.54, 0.48), working memory (SMD = 0.06; 95% CI: -0.64, 0.77), or processing speed (SMD = -0.20; 95% CI: -1.70, 1.31). However, subgroup analyses </w:t>
      </w:r>
      <w:r w:rsidR="00BA4ECC" w:rsidRPr="00CC4CC3">
        <w:rPr>
          <w:rFonts w:ascii="Times New Roman" w:hAnsi="Times New Roman" w:cs="Times New Roman"/>
          <w:sz w:val="20"/>
          <w:szCs w:val="20"/>
        </w:rPr>
        <w:t>revealed</w:t>
      </w:r>
      <w:r w:rsidRPr="00CC4CC3">
        <w:rPr>
          <w:rFonts w:ascii="Times New Roman" w:hAnsi="Times New Roman" w:cs="Times New Roman"/>
          <w:sz w:val="20"/>
          <w:szCs w:val="20"/>
        </w:rPr>
        <w:t xml:space="preserve"> that</w:t>
      </w:r>
      <w:r w:rsidR="00CF3EC8">
        <w:rPr>
          <w:rFonts w:ascii="Times New Roman" w:hAnsi="Times New Roman" w:cs="Times New Roman"/>
          <w:sz w:val="20"/>
          <w:szCs w:val="20"/>
        </w:rPr>
        <w:t xml:space="preserve"> </w:t>
      </w:r>
      <w:r w:rsidR="008D3ECA">
        <w:rPr>
          <w:rFonts w:ascii="Times New Roman" w:hAnsi="Times New Roman" w:cs="Times New Roman"/>
          <w:sz w:val="20"/>
          <w:szCs w:val="20"/>
        </w:rPr>
        <w:t xml:space="preserve">higher protein intake with </w:t>
      </w:r>
      <w:bookmarkStart w:id="1" w:name="OLE_LINK1"/>
      <w:r w:rsidRPr="00CC4CC3">
        <w:rPr>
          <w:rFonts w:ascii="Times New Roman" w:hAnsi="Times New Roman" w:cs="Times New Roman"/>
          <w:sz w:val="20"/>
          <w:szCs w:val="20"/>
        </w:rPr>
        <w:t>whey</w:t>
      </w:r>
      <w:r w:rsidR="00CE70E9">
        <w:rPr>
          <w:rFonts w:ascii="Times New Roman" w:hAnsi="Times New Roman" w:cs="Times New Roman"/>
          <w:sz w:val="20"/>
          <w:szCs w:val="20"/>
        </w:rPr>
        <w:t xml:space="preserve"> protein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8D3ECA">
        <w:rPr>
          <w:rFonts w:ascii="Times New Roman" w:hAnsi="Times New Roman" w:cs="Times New Roman"/>
          <w:sz w:val="20"/>
          <w:szCs w:val="20"/>
        </w:rPr>
        <w:t>supplementation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Pr="00CC4CC3">
        <w:rPr>
          <w:rFonts w:ascii="Times New Roman" w:hAnsi="Times New Roman" w:cs="Times New Roman"/>
          <w:sz w:val="20"/>
          <w:szCs w:val="20"/>
        </w:rPr>
        <w:t xml:space="preserve">and interventions lasting </w:t>
      </w:r>
      <w:r w:rsidRPr="00CC4CC3">
        <w:rPr>
          <w:rFonts w:ascii="Times New Roman" w:hAnsi="Times New Roman" w:cs="Times New Roman" w:hint="eastAsia"/>
          <w:sz w:val="20"/>
          <w:szCs w:val="20"/>
        </w:rPr>
        <w:t>≥</w:t>
      </w:r>
      <w:r w:rsidRPr="00CC4CC3">
        <w:rPr>
          <w:rFonts w:ascii="Times New Roman" w:hAnsi="Times New Roman" w:cs="Times New Roman"/>
          <w:sz w:val="20"/>
          <w:szCs w:val="20"/>
        </w:rPr>
        <w:t xml:space="preserve">12 weeks </w:t>
      </w:r>
      <w:r w:rsidR="002024B1">
        <w:rPr>
          <w:rFonts w:ascii="Times New Roman" w:hAnsi="Times New Roman" w:cs="Times New Roman"/>
          <w:sz w:val="20"/>
          <w:szCs w:val="20"/>
        </w:rPr>
        <w:t xml:space="preserve">resulted in </w:t>
      </w:r>
      <w:r w:rsidR="00CE70E9">
        <w:rPr>
          <w:rFonts w:ascii="Times New Roman" w:hAnsi="Times New Roman" w:cs="Times New Roman"/>
          <w:sz w:val="20"/>
          <w:szCs w:val="20"/>
        </w:rPr>
        <w:t>a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CC4CC3">
        <w:rPr>
          <w:rFonts w:ascii="Times New Roman" w:hAnsi="Times New Roman" w:cs="Times New Roman"/>
          <w:sz w:val="20"/>
          <w:szCs w:val="20"/>
        </w:rPr>
        <w:t>significant improvement in</w:t>
      </w:r>
      <w:r w:rsidRPr="00CC4CC3">
        <w:rPr>
          <w:rFonts w:ascii="Times New Roman" w:hAnsi="Times New Roman" w:cs="Times New Roman"/>
          <w:sz w:val="20"/>
          <w:szCs w:val="20"/>
        </w:rPr>
        <w:t xml:space="preserve"> cognitive function (SMD = 0.47; 95% CI: 0.15, 0.80). </w:t>
      </w:r>
      <w:r w:rsidRPr="00CC4CC3">
        <w:rPr>
          <w:rFonts w:ascii="Times New Roman" w:hAnsi="Times New Roman" w:cs="Times New Roman"/>
          <w:i/>
          <w:iCs/>
          <w:sz w:val="20"/>
          <w:szCs w:val="20"/>
        </w:rPr>
        <w:t xml:space="preserve">Conclusions: </w:t>
      </w:r>
      <w:r w:rsidR="008444EF">
        <w:rPr>
          <w:rFonts w:ascii="Times New Roman" w:hAnsi="Times New Roman" w:cs="Times New Roman"/>
          <w:sz w:val="20"/>
          <w:szCs w:val="20"/>
        </w:rPr>
        <w:t>These findings suggest that</w:t>
      </w:r>
      <w:r w:rsidR="006F709D">
        <w:rPr>
          <w:rFonts w:ascii="Times New Roman" w:hAnsi="Times New Roman" w:cs="Times New Roman"/>
          <w:sz w:val="20"/>
          <w:szCs w:val="20"/>
        </w:rPr>
        <w:t xml:space="preserve"> although higher protein intake may not </w:t>
      </w:r>
      <w:r w:rsidR="00356C03">
        <w:rPr>
          <w:rFonts w:ascii="Times New Roman" w:hAnsi="Times New Roman" w:cs="Times New Roman"/>
          <w:sz w:val="20"/>
          <w:szCs w:val="20"/>
        </w:rPr>
        <w:t>provide beneficial effects on cognitive function</w:t>
      </w:r>
      <w:r w:rsidR="00D3493B">
        <w:rPr>
          <w:rFonts w:ascii="Times New Roman" w:hAnsi="Times New Roman" w:cs="Times New Roman"/>
          <w:sz w:val="20"/>
          <w:szCs w:val="20"/>
        </w:rPr>
        <w:t>,</w:t>
      </w:r>
      <w:r w:rsidRPr="00CC4CC3">
        <w:rPr>
          <w:rFonts w:ascii="Times New Roman" w:hAnsi="Times New Roman" w:cs="Times New Roman"/>
          <w:sz w:val="20"/>
          <w:szCs w:val="20"/>
        </w:rPr>
        <w:t xml:space="preserve"> protein source and intervention duration likely influenc</w:t>
      </w:r>
      <w:r w:rsidR="00356C03">
        <w:rPr>
          <w:rFonts w:ascii="Times New Roman" w:hAnsi="Times New Roman" w:cs="Times New Roman"/>
          <w:sz w:val="20"/>
          <w:szCs w:val="20"/>
        </w:rPr>
        <w:t>e</w:t>
      </w:r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  <w:r w:rsidR="009172F6">
        <w:rPr>
          <w:rFonts w:ascii="Times New Roman" w:hAnsi="Times New Roman" w:cs="Times New Roman" w:hint="eastAsia"/>
          <w:sz w:val="20"/>
          <w:szCs w:val="20"/>
        </w:rPr>
        <w:t>the</w:t>
      </w:r>
      <w:r w:rsidR="009172F6">
        <w:rPr>
          <w:rFonts w:ascii="Times New Roman" w:hAnsi="Times New Roman" w:cs="Times New Roman"/>
          <w:sz w:val="20"/>
          <w:szCs w:val="20"/>
        </w:rPr>
        <w:t xml:space="preserve"> response of </w:t>
      </w:r>
      <w:r w:rsidR="004E6FD9">
        <w:rPr>
          <w:rFonts w:ascii="Times New Roman" w:hAnsi="Times New Roman" w:cs="Times New Roman"/>
          <w:sz w:val="20"/>
          <w:szCs w:val="20"/>
        </w:rPr>
        <w:t>cognitive benefits</w:t>
      </w:r>
      <w:r w:rsidRPr="00CC4CC3">
        <w:rPr>
          <w:rFonts w:ascii="Times New Roman" w:hAnsi="Times New Roman" w:cs="Times New Roman"/>
          <w:sz w:val="20"/>
          <w:szCs w:val="20"/>
        </w:rPr>
        <w:t>.</w:t>
      </w:r>
      <w:bookmarkEnd w:id="0"/>
      <w:r w:rsidRPr="00CC4CC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C76372" w14:textId="77777777" w:rsidR="003D4985" w:rsidRDefault="003D4985">
      <w:pPr>
        <w:rPr>
          <w:rFonts w:ascii="Times New Roman" w:hAnsi="Times New Roman" w:cs="Times New Roman"/>
          <w:sz w:val="20"/>
          <w:szCs w:val="20"/>
        </w:rPr>
      </w:pPr>
    </w:p>
    <w:p w14:paraId="7E9481BA" w14:textId="77777777" w:rsidR="00CC4CC3" w:rsidRDefault="00CC4CC3">
      <w:pPr>
        <w:rPr>
          <w:rFonts w:ascii="Times New Roman" w:hAnsi="Times New Roman" w:cs="Times New Roman"/>
          <w:sz w:val="20"/>
          <w:szCs w:val="20"/>
        </w:rPr>
      </w:pPr>
    </w:p>
    <w:p w14:paraId="4EDCCAB6" w14:textId="77777777" w:rsidR="00CC4CC3" w:rsidRDefault="00CC4CC3">
      <w:pPr>
        <w:rPr>
          <w:rFonts w:ascii="Times New Roman" w:hAnsi="Times New Roman" w:cs="Times New Roman"/>
          <w:sz w:val="20"/>
          <w:szCs w:val="20"/>
        </w:rPr>
      </w:pPr>
    </w:p>
    <w:p w14:paraId="100683BD" w14:textId="77777777" w:rsidR="00CC4CC3" w:rsidRDefault="00CC4CC3">
      <w:pPr>
        <w:rPr>
          <w:rFonts w:ascii="Times New Roman" w:hAnsi="Times New Roman" w:cs="Times New Roman"/>
          <w:sz w:val="20"/>
          <w:szCs w:val="20"/>
        </w:rPr>
      </w:pPr>
    </w:p>
    <w:p w14:paraId="557C0E18" w14:textId="77777777" w:rsidR="002024B1" w:rsidRPr="00C67487" w:rsidRDefault="002024B1" w:rsidP="002024B1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13358A6F" w14:textId="63111632" w:rsidR="002024B1" w:rsidRPr="00665C88" w:rsidRDefault="002024B1" w:rsidP="002024B1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Pr="002024B1">
        <w:rPr>
          <w:sz w:val="20"/>
        </w:rPr>
        <w:t>Adams, M. S., Mensink, R. P., &amp; Joris, P. J. (2025). Effects of dietary proteins on cognitive performance and brain vascular function in adults: a systematic review of randomised controlled trials. Nutrition Research Reviews, 38(2), 450-464.</w:t>
      </w:r>
    </w:p>
    <w:p w14:paraId="4BC76373" w14:textId="54DCDA67" w:rsidR="003D4985" w:rsidRPr="00CC4CC3" w:rsidRDefault="002024B1" w:rsidP="00CC4CC3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[2] </w:t>
      </w:r>
      <w:r w:rsidRPr="002024B1">
        <w:rPr>
          <w:sz w:val="20"/>
        </w:rPr>
        <w:t>Glenn, J. M., Madero, E. N., &amp; Bott, N. T. (2019). Dietary protein and amino acid intake: links to the maintenance of cognitive health. Nutrients, 11(6), 1315.</w:t>
      </w:r>
      <w:r w:rsidRPr="0078067E">
        <w:rPr>
          <w:sz w:val="20"/>
        </w:rPr>
        <w:t xml:space="preserve"> </w:t>
      </w:r>
    </w:p>
    <w:sectPr w:rsidR="003D4985" w:rsidRPr="00CC4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7F"/>
    <w:rsid w:val="00023103"/>
    <w:rsid w:val="00024460"/>
    <w:rsid w:val="00052BED"/>
    <w:rsid w:val="00063D0F"/>
    <w:rsid w:val="00084822"/>
    <w:rsid w:val="000B5097"/>
    <w:rsid w:val="000C4698"/>
    <w:rsid w:val="000D4C75"/>
    <w:rsid w:val="000E5425"/>
    <w:rsid w:val="000E799D"/>
    <w:rsid w:val="000F501F"/>
    <w:rsid w:val="000F75BD"/>
    <w:rsid w:val="00106176"/>
    <w:rsid w:val="00132904"/>
    <w:rsid w:val="00150542"/>
    <w:rsid w:val="00174ECF"/>
    <w:rsid w:val="0019239E"/>
    <w:rsid w:val="001B0712"/>
    <w:rsid w:val="001B312B"/>
    <w:rsid w:val="001C41EF"/>
    <w:rsid w:val="001C5723"/>
    <w:rsid w:val="001C6307"/>
    <w:rsid w:val="001D0E10"/>
    <w:rsid w:val="001D795B"/>
    <w:rsid w:val="001F63C8"/>
    <w:rsid w:val="002024B1"/>
    <w:rsid w:val="00206F41"/>
    <w:rsid w:val="00211A13"/>
    <w:rsid w:val="0022038A"/>
    <w:rsid w:val="002506C7"/>
    <w:rsid w:val="00252EAA"/>
    <w:rsid w:val="00255858"/>
    <w:rsid w:val="00274507"/>
    <w:rsid w:val="0027483B"/>
    <w:rsid w:val="00281D6D"/>
    <w:rsid w:val="002838E4"/>
    <w:rsid w:val="002C6CC5"/>
    <w:rsid w:val="002E0B6D"/>
    <w:rsid w:val="002E3F54"/>
    <w:rsid w:val="00305B1E"/>
    <w:rsid w:val="00317333"/>
    <w:rsid w:val="00331A7D"/>
    <w:rsid w:val="00333438"/>
    <w:rsid w:val="00356C03"/>
    <w:rsid w:val="00397E2F"/>
    <w:rsid w:val="003B4CD6"/>
    <w:rsid w:val="003D4985"/>
    <w:rsid w:val="003D722E"/>
    <w:rsid w:val="003E6DCF"/>
    <w:rsid w:val="00410FCB"/>
    <w:rsid w:val="004512D2"/>
    <w:rsid w:val="004A5CC8"/>
    <w:rsid w:val="004B56FF"/>
    <w:rsid w:val="004E3A8A"/>
    <w:rsid w:val="004E6FD9"/>
    <w:rsid w:val="005031F3"/>
    <w:rsid w:val="005137BA"/>
    <w:rsid w:val="00515B7A"/>
    <w:rsid w:val="0052503C"/>
    <w:rsid w:val="00525D4B"/>
    <w:rsid w:val="00545338"/>
    <w:rsid w:val="005867D8"/>
    <w:rsid w:val="005A2E0F"/>
    <w:rsid w:val="005A320D"/>
    <w:rsid w:val="005F124A"/>
    <w:rsid w:val="005F69B9"/>
    <w:rsid w:val="00631602"/>
    <w:rsid w:val="00650409"/>
    <w:rsid w:val="00653C3B"/>
    <w:rsid w:val="00667E8A"/>
    <w:rsid w:val="0067063B"/>
    <w:rsid w:val="00682C28"/>
    <w:rsid w:val="00685E77"/>
    <w:rsid w:val="006A675F"/>
    <w:rsid w:val="006A74B6"/>
    <w:rsid w:val="006C1920"/>
    <w:rsid w:val="006D0648"/>
    <w:rsid w:val="006F709D"/>
    <w:rsid w:val="00722074"/>
    <w:rsid w:val="00732BD8"/>
    <w:rsid w:val="00734208"/>
    <w:rsid w:val="0073575C"/>
    <w:rsid w:val="0075167F"/>
    <w:rsid w:val="00752EF0"/>
    <w:rsid w:val="00781A52"/>
    <w:rsid w:val="0078482B"/>
    <w:rsid w:val="00791A03"/>
    <w:rsid w:val="007B1C9A"/>
    <w:rsid w:val="007C7A72"/>
    <w:rsid w:val="007D63A5"/>
    <w:rsid w:val="007E2537"/>
    <w:rsid w:val="007E28A1"/>
    <w:rsid w:val="007F44B0"/>
    <w:rsid w:val="00805E4A"/>
    <w:rsid w:val="00830E0B"/>
    <w:rsid w:val="0084248D"/>
    <w:rsid w:val="008444EF"/>
    <w:rsid w:val="00846BA3"/>
    <w:rsid w:val="0087351C"/>
    <w:rsid w:val="0088585D"/>
    <w:rsid w:val="008B1377"/>
    <w:rsid w:val="008B2C6A"/>
    <w:rsid w:val="008B5B95"/>
    <w:rsid w:val="008D126F"/>
    <w:rsid w:val="008D3ECA"/>
    <w:rsid w:val="008D6439"/>
    <w:rsid w:val="008E0F26"/>
    <w:rsid w:val="008E242D"/>
    <w:rsid w:val="008E6E31"/>
    <w:rsid w:val="008F0091"/>
    <w:rsid w:val="008F5F39"/>
    <w:rsid w:val="009132A6"/>
    <w:rsid w:val="009172F6"/>
    <w:rsid w:val="00925917"/>
    <w:rsid w:val="00940F28"/>
    <w:rsid w:val="009416A1"/>
    <w:rsid w:val="00947799"/>
    <w:rsid w:val="009566CA"/>
    <w:rsid w:val="00990CBB"/>
    <w:rsid w:val="0099428E"/>
    <w:rsid w:val="009A76CC"/>
    <w:rsid w:val="009B20C4"/>
    <w:rsid w:val="009B599E"/>
    <w:rsid w:val="009B621E"/>
    <w:rsid w:val="009D2FBD"/>
    <w:rsid w:val="009E21EF"/>
    <w:rsid w:val="009E6095"/>
    <w:rsid w:val="009F13CD"/>
    <w:rsid w:val="009F344E"/>
    <w:rsid w:val="009F3D51"/>
    <w:rsid w:val="00A20F62"/>
    <w:rsid w:val="00A34688"/>
    <w:rsid w:val="00A411F4"/>
    <w:rsid w:val="00A67B26"/>
    <w:rsid w:val="00A73CEF"/>
    <w:rsid w:val="00AA359B"/>
    <w:rsid w:val="00AA63C1"/>
    <w:rsid w:val="00AB4114"/>
    <w:rsid w:val="00AD28EB"/>
    <w:rsid w:val="00AD45F1"/>
    <w:rsid w:val="00AD7206"/>
    <w:rsid w:val="00AE41C2"/>
    <w:rsid w:val="00AF21BA"/>
    <w:rsid w:val="00B07A69"/>
    <w:rsid w:val="00B17262"/>
    <w:rsid w:val="00B37C08"/>
    <w:rsid w:val="00B546F8"/>
    <w:rsid w:val="00B56A6C"/>
    <w:rsid w:val="00B63878"/>
    <w:rsid w:val="00B879CE"/>
    <w:rsid w:val="00B93D8F"/>
    <w:rsid w:val="00BA4ECC"/>
    <w:rsid w:val="00BB06EF"/>
    <w:rsid w:val="00BD2CBC"/>
    <w:rsid w:val="00C10C3A"/>
    <w:rsid w:val="00C205F6"/>
    <w:rsid w:val="00C533A6"/>
    <w:rsid w:val="00C92C4A"/>
    <w:rsid w:val="00CB366B"/>
    <w:rsid w:val="00CB5135"/>
    <w:rsid w:val="00CB58F8"/>
    <w:rsid w:val="00CB5E4A"/>
    <w:rsid w:val="00CC4CC3"/>
    <w:rsid w:val="00CD5986"/>
    <w:rsid w:val="00CE1E27"/>
    <w:rsid w:val="00CE5F94"/>
    <w:rsid w:val="00CE6D1E"/>
    <w:rsid w:val="00CE70E9"/>
    <w:rsid w:val="00CE7114"/>
    <w:rsid w:val="00CF3EC8"/>
    <w:rsid w:val="00D026DE"/>
    <w:rsid w:val="00D1511D"/>
    <w:rsid w:val="00D20A38"/>
    <w:rsid w:val="00D30392"/>
    <w:rsid w:val="00D30858"/>
    <w:rsid w:val="00D3493B"/>
    <w:rsid w:val="00D67448"/>
    <w:rsid w:val="00D703C8"/>
    <w:rsid w:val="00D77041"/>
    <w:rsid w:val="00D82F78"/>
    <w:rsid w:val="00D83D73"/>
    <w:rsid w:val="00D9485F"/>
    <w:rsid w:val="00D96B5A"/>
    <w:rsid w:val="00DC697A"/>
    <w:rsid w:val="00DE7F37"/>
    <w:rsid w:val="00E068D8"/>
    <w:rsid w:val="00E20F41"/>
    <w:rsid w:val="00E2390B"/>
    <w:rsid w:val="00E24A78"/>
    <w:rsid w:val="00E24EA8"/>
    <w:rsid w:val="00E32080"/>
    <w:rsid w:val="00E67D60"/>
    <w:rsid w:val="00EB19FB"/>
    <w:rsid w:val="00EB2E45"/>
    <w:rsid w:val="00EB69F2"/>
    <w:rsid w:val="00ED0F54"/>
    <w:rsid w:val="00EE0D3A"/>
    <w:rsid w:val="00EF230D"/>
    <w:rsid w:val="00F07DFB"/>
    <w:rsid w:val="00F10847"/>
    <w:rsid w:val="00F55DDA"/>
    <w:rsid w:val="00F602FE"/>
    <w:rsid w:val="00F71D6A"/>
    <w:rsid w:val="00F72CD6"/>
    <w:rsid w:val="00F802D7"/>
    <w:rsid w:val="00FA1568"/>
    <w:rsid w:val="00FA5A0C"/>
    <w:rsid w:val="00FA7A87"/>
    <w:rsid w:val="00FB7F9A"/>
    <w:rsid w:val="00FD0BFD"/>
    <w:rsid w:val="00FE75F5"/>
    <w:rsid w:val="FDDFB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C7636A"/>
  <w15:docId w15:val="{FEC049C3-FC42-3F4A-8D48-D2D5EEBC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Revision"/>
    <w:hidden/>
    <w:uiPriority w:val="99"/>
    <w:unhideWhenUsed/>
    <w:rsid w:val="00A20F62"/>
    <w:rPr>
      <w:kern w:val="2"/>
      <w:sz w:val="21"/>
      <w:szCs w:val="24"/>
      <w:lang w:eastAsia="zh-CN"/>
      <w14:ligatures w14:val="standardContextual"/>
    </w:rPr>
  </w:style>
  <w:style w:type="character" w:styleId="ad">
    <w:name w:val="annotation reference"/>
    <w:basedOn w:val="a0"/>
    <w:uiPriority w:val="99"/>
    <w:semiHidden/>
    <w:unhideWhenUsed/>
    <w:rsid w:val="00C10C3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0C3A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C10C3A"/>
    <w:rPr>
      <w:kern w:val="2"/>
      <w:lang w:eastAsia="zh-CN"/>
      <w14:ligatures w14:val="standardContextual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0C3A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C10C3A"/>
    <w:rPr>
      <w:b/>
      <w:bCs/>
      <w:kern w:val="2"/>
      <w:lang w:eastAsia="zh-CN"/>
      <w14:ligatures w14:val="standardContextual"/>
    </w:rPr>
  </w:style>
  <w:style w:type="paragraph" w:customStyle="1" w:styleId="DocHead">
    <w:name w:val="DocHead"/>
    <w:rsid w:val="00990CBB"/>
    <w:pPr>
      <w:spacing w:before="240" w:after="240"/>
      <w:jc w:val="center"/>
    </w:pPr>
    <w:rPr>
      <w:rFonts w:ascii="Times New Roman" w:eastAsia="宋体" w:hAnsi="Times New Roman" w:cs="Times New Roman"/>
      <w:sz w:val="24"/>
      <w:lang w:eastAsia="en-US"/>
    </w:rPr>
  </w:style>
  <w:style w:type="paragraph" w:customStyle="1" w:styleId="Els-keywords">
    <w:name w:val="Els-keywords"/>
    <w:next w:val="a"/>
    <w:rsid w:val="002024B1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Shuqi</dc:creator>
  <cp:lastModifiedBy>Li Shuqi</cp:lastModifiedBy>
  <cp:revision>30</cp:revision>
  <dcterms:created xsi:type="dcterms:W3CDTF">2026-04-19T20:29:00Z</dcterms:created>
  <dcterms:modified xsi:type="dcterms:W3CDTF">2026-04-27T11:59:00Z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D03C88124AF3BCDEF2DAE4691FC777D9_42</vt:lpwstr>
  </property>
</Properties>
</file>