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E18CB" w14:textId="219522D7" w:rsidR="00F9062F" w:rsidRDefault="004D1125" w:rsidP="00F9062F">
      <w:pPr>
        <w:pStyle w:val="DocHead"/>
        <w:spacing w:after="0"/>
        <w:ind w:left="-119" w:right="-136" w:firstLine="119"/>
      </w:pPr>
      <w:r w:rsidRPr="00734132">
        <w:t xml:space="preserve">Singapore International Food Forum </w:t>
      </w:r>
      <w:r w:rsidR="00F9062F">
        <w:t xml:space="preserve">(SIFF) </w:t>
      </w:r>
      <w:r w:rsidRPr="00734132">
        <w:t>2026</w:t>
      </w:r>
    </w:p>
    <w:p w14:paraId="75CFE04A" w14:textId="283675F4" w:rsidR="00F9062F" w:rsidRDefault="00F9062F" w:rsidP="00F9062F">
      <w:pPr>
        <w:pStyle w:val="DocHead"/>
        <w:spacing w:after="0"/>
        <w:ind w:left="-119" w:right="-136" w:firstLine="119"/>
      </w:pPr>
      <w:r>
        <w:t xml:space="preserve">Category: </w:t>
      </w:r>
      <w:r w:rsidR="00FF249F">
        <w:t>Theme</w:t>
      </w:r>
      <w:r>
        <w:t xml:space="preserve"> F </w:t>
      </w:r>
    </w:p>
    <w:p w14:paraId="2641CBEB" w14:textId="42DC5D89" w:rsidR="00431340" w:rsidRPr="00734132" w:rsidRDefault="00F9062F" w:rsidP="00AA11EA">
      <w:pPr>
        <w:pStyle w:val="DocHead"/>
        <w:spacing w:before="0"/>
        <w:ind w:left="-119" w:right="-136" w:firstLine="119"/>
      </w:pPr>
      <w:r>
        <w:t xml:space="preserve">                  Climate Risk to Consumers: Emerging Food Safety Risks</w:t>
      </w:r>
    </w:p>
    <w:p w14:paraId="102F2E55" w14:textId="05FF7BD6" w:rsidR="005707FE" w:rsidRDefault="005707FE" w:rsidP="00652CFE">
      <w:pPr>
        <w:jc w:val="center"/>
        <w:rPr>
          <w:rFonts w:ascii="Times New Roman" w:hAnsi="Times New Roman" w:cs="Times New Roman"/>
          <w:sz w:val="32"/>
          <w:szCs w:val="32"/>
        </w:rPr>
      </w:pPr>
      <w:r w:rsidRPr="005707FE">
        <w:rPr>
          <w:rFonts w:ascii="Times New Roman" w:hAnsi="Times New Roman" w:cs="Times New Roman"/>
          <w:sz w:val="32"/>
          <w:szCs w:val="32"/>
        </w:rPr>
        <w:t>Shellfish Allerg</w:t>
      </w:r>
      <w:r w:rsidR="0037448E">
        <w:rPr>
          <w:rFonts w:ascii="Times New Roman" w:hAnsi="Times New Roman" w:cs="Times New Roman"/>
          <w:sz w:val="32"/>
          <w:szCs w:val="32"/>
        </w:rPr>
        <w:t>y</w:t>
      </w:r>
      <w:r w:rsidR="0037448E" w:rsidRPr="0037448E">
        <w:rPr>
          <w:rFonts w:ascii="Times New Roman" w:hAnsi="Times New Roman" w:cs="Times New Roman"/>
          <w:sz w:val="32"/>
          <w:szCs w:val="32"/>
        </w:rPr>
        <w:t xml:space="preserve"> </w:t>
      </w:r>
      <w:r w:rsidR="00AC21FD">
        <w:rPr>
          <w:rFonts w:ascii="Times New Roman" w:hAnsi="Times New Roman" w:cs="Times New Roman"/>
          <w:sz w:val="32"/>
          <w:szCs w:val="32"/>
        </w:rPr>
        <w:t xml:space="preserve">and Implications for </w:t>
      </w:r>
      <w:r w:rsidR="00AC21FD" w:rsidRPr="005707FE">
        <w:rPr>
          <w:rFonts w:ascii="Times New Roman" w:hAnsi="Times New Roman" w:cs="Times New Roman"/>
          <w:sz w:val="32"/>
          <w:szCs w:val="32"/>
        </w:rPr>
        <w:t>Food Safety</w:t>
      </w:r>
      <w:r w:rsidRPr="005707FE">
        <w:rPr>
          <w:rFonts w:ascii="Times New Roman" w:hAnsi="Times New Roman" w:cs="Times New Roman"/>
          <w:sz w:val="32"/>
          <w:szCs w:val="32"/>
        </w:rPr>
        <w:t xml:space="preserve">: </w:t>
      </w:r>
      <w:r w:rsidR="00AC21FD">
        <w:rPr>
          <w:rFonts w:ascii="Times New Roman" w:hAnsi="Times New Roman" w:cs="Times New Roman"/>
          <w:sz w:val="32"/>
          <w:szCs w:val="32"/>
        </w:rPr>
        <w:t xml:space="preserve">Detection and Management Challenges </w:t>
      </w:r>
      <w:r w:rsidRPr="005707FE">
        <w:rPr>
          <w:rFonts w:ascii="Times New Roman" w:hAnsi="Times New Roman" w:cs="Times New Roman"/>
          <w:sz w:val="32"/>
          <w:szCs w:val="32"/>
        </w:rPr>
        <w:t>in a Changing Climate</w:t>
      </w:r>
    </w:p>
    <w:p w14:paraId="49A2D681" w14:textId="6EB1252F" w:rsidR="00652CFE" w:rsidRPr="00734132" w:rsidRDefault="00652CFE" w:rsidP="00652CF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34132">
        <w:rPr>
          <w:rFonts w:ascii="Times New Roman" w:hAnsi="Times New Roman" w:cs="Times New Roman"/>
          <w:sz w:val="24"/>
          <w:szCs w:val="24"/>
          <w:lang w:val="en-US"/>
        </w:rPr>
        <w:t>Janitha Iddagoda</w:t>
      </w:r>
      <w:r w:rsidR="004E6E53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 w:rsidR="004E6E53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, Renee Chin</w:t>
      </w:r>
      <w:r w:rsidR="004E6E53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a,b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55801" w:rsidRPr="00734132">
        <w:rPr>
          <w:rFonts w:ascii="Times New Roman" w:hAnsi="Times New Roman" w:cs="Times New Roman"/>
          <w:sz w:val="24"/>
          <w:szCs w:val="24"/>
          <w:lang w:val="en-US"/>
        </w:rPr>
        <w:t>Shaymaviswanathan Karnaneedi</w:t>
      </w:r>
      <w:r w:rsidR="00B55801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a,b,c</w:t>
      </w:r>
      <w:r w:rsidR="00B55801">
        <w:rPr>
          <w:rFonts w:ascii="Times New Roman" w:hAnsi="Times New Roman" w:cs="Times New Roman"/>
          <w:color w:val="000000" w:themeColor="text1"/>
          <w:sz w:val="24"/>
          <w:szCs w:val="24"/>
        </w:rPr>
        <w:t>, Emily Jerry</w:t>
      </w:r>
      <w:r w:rsidR="00065629" w:rsidRPr="00AA11E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b,c</w:t>
      </w:r>
      <w:r w:rsidR="000656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34132">
        <w:rPr>
          <w:rFonts w:ascii="Times New Roman" w:hAnsi="Times New Roman" w:cs="Times New Roman"/>
          <w:color w:val="000000" w:themeColor="text1"/>
          <w:sz w:val="24"/>
          <w:szCs w:val="24"/>
        </w:rPr>
        <w:t>Varsha V</w:t>
      </w:r>
      <w:r w:rsidR="008B46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E6E53" w:rsidRPr="00734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4132">
        <w:rPr>
          <w:rFonts w:ascii="Times New Roman" w:hAnsi="Times New Roman" w:cs="Times New Roman"/>
          <w:color w:val="000000" w:themeColor="text1"/>
          <w:sz w:val="24"/>
          <w:szCs w:val="24"/>
        </w:rPr>
        <w:t>Balu</w:t>
      </w:r>
      <w:r w:rsidR="004E6E53" w:rsidRPr="007341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b,</w:t>
      </w:r>
      <w:r w:rsidR="0094057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, Roni Nugraha</w:t>
      </w:r>
      <w:r w:rsidR="004E6E53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</w:t>
      </w:r>
      <w:r w:rsidR="00196806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, Vachiranee Limviphuvadh</w:t>
      </w:r>
      <w:r w:rsidR="00196806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f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D2260" w:rsidRPr="00734132">
        <w:rPr>
          <w:rFonts w:ascii="Times New Roman" w:hAnsi="Times New Roman" w:cs="Times New Roman"/>
          <w:sz w:val="24"/>
          <w:szCs w:val="24"/>
          <w:lang w:val="en-US"/>
        </w:rPr>
        <w:t>Xin Shan Lim</w:t>
      </w:r>
      <w:r w:rsidR="00E60E3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g</w:t>
      </w:r>
      <w:r w:rsidR="00AD2260" w:rsidRPr="007341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Qifeng Lin</w:t>
      </w:r>
      <w:r w:rsidR="00E60E3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F5A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Teck Kwang Lim</w:t>
      </w:r>
      <w:r w:rsidR="00E60E3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34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Michael </w:t>
      </w:r>
      <w:r w:rsidRPr="000908E3">
        <w:rPr>
          <w:rFonts w:ascii="Times New Roman" w:hAnsi="Times New Roman" w:cs="Times New Roman"/>
          <w:color w:val="000000" w:themeColor="text1"/>
          <w:sz w:val="24"/>
          <w:szCs w:val="24"/>
        </w:rPr>
        <w:t>G.</w:t>
      </w:r>
      <w:r w:rsidRPr="00734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Leeming</w:t>
      </w:r>
      <w:r w:rsidR="00196806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734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Nicholas </w:t>
      </w:r>
      <w:r w:rsidRPr="000908E3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Pr="00734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Williamson</w:t>
      </w:r>
      <w:r w:rsidR="00196806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E6E53" w:rsidRPr="00734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Qingsong Lin</w:t>
      </w:r>
      <w:r w:rsidR="002F5A8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C40D9">
        <w:rPr>
          <w:rFonts w:ascii="Times New Roman" w:hAnsi="Times New Roman" w:cs="Times New Roman"/>
          <w:sz w:val="24"/>
          <w:szCs w:val="24"/>
          <w:lang w:val="en-US"/>
        </w:rPr>
        <w:t>Lydia Wong</w:t>
      </w:r>
      <w:r w:rsidR="0062460A">
        <w:rPr>
          <w:rFonts w:ascii="Times New Roman" w:hAnsi="Times New Roman" w:cs="Times New Roman"/>
          <w:sz w:val="24"/>
          <w:szCs w:val="24"/>
          <w:lang w:val="en-US"/>
        </w:rPr>
        <w:t xml:space="preserve"> Su Yin </w:t>
      </w:r>
      <w:r w:rsidR="004E6E53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j,k</w:t>
      </w:r>
      <w:r w:rsidR="00196806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 w:rsidR="0026648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l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, Andreas L</w:t>
      </w:r>
      <w:r w:rsidR="00BB144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 xml:space="preserve"> Lopata</w:t>
      </w:r>
      <w:r w:rsidR="004E6E53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a,b,c,d,</w:t>
      </w:r>
      <w:r w:rsidR="00196806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f</w:t>
      </w:r>
      <w:r w:rsidR="006E3CE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734132">
        <w:rPr>
          <w:rFonts w:ascii="Times New Roman" w:hAnsi="Times New Roman" w:cs="Times New Roman"/>
          <w:sz w:val="24"/>
          <w:szCs w:val="24"/>
          <w:lang w:val="en-US"/>
        </w:rPr>
        <w:t>, Thimo Ruethers</w:t>
      </w:r>
      <w:r w:rsidR="004E6E53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a,b,</w:t>
      </w:r>
      <w:r w:rsidR="00F625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="004E6E53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 w:rsidR="00196806" w:rsidRPr="007341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f</w:t>
      </w:r>
      <w:r w:rsidR="00F625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</w:p>
    <w:p w14:paraId="70D63454" w14:textId="347AC30F" w:rsidR="00652CFE" w:rsidRPr="00734132" w:rsidRDefault="00652CFE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734132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a</w:t>
      </w:r>
      <w:r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Tropical Futures Institute, James Cook University, Singapore 387380, Singapore</w:t>
      </w:r>
    </w:p>
    <w:p w14:paraId="64A2813C" w14:textId="7C73E8CA" w:rsidR="00652CFE" w:rsidRDefault="00652CFE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734132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b</w:t>
      </w:r>
      <w:r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Molecular Allergy Research Laboratory, Centre for Sustainable Tropical Fisheries and Aquaculture (CSTFA), College of Science and Engineering, James Cook University, Douglas, QLD 4811, Australia</w:t>
      </w:r>
    </w:p>
    <w:p w14:paraId="06B504AE" w14:textId="7B80357A" w:rsidR="005914DC" w:rsidRPr="00734132" w:rsidRDefault="005914DC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c</w:t>
      </w:r>
      <w:r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Centre for Food and Allergy Research (CFAR), Murdoch Children’s Research Institute, Parkville, Victoria 3052, Australia</w:t>
      </w:r>
    </w:p>
    <w:p w14:paraId="02A42E9B" w14:textId="43EA4C26" w:rsidR="004E6E53" w:rsidRPr="005914DC" w:rsidRDefault="005914DC" w:rsidP="005914DC">
      <w:pPr>
        <w:spacing w:after="0" w:line="240" w:lineRule="auto"/>
        <w:ind w:right="-720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bookmarkStart w:id="0" w:name="_Hlk216712971"/>
      <w:r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vertAlign w:val="superscript"/>
        </w:rPr>
        <w:t>d</w:t>
      </w:r>
      <w:r w:rsidR="00652CFE" w:rsidRPr="00734132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ARC Industrial Transformation Research Hub (ITRH) for Supercharging Tropical Aquaculture through Genetic Solutions</w:t>
      </w:r>
      <w:bookmarkEnd w:id="0"/>
      <w:r w:rsidR="00652CFE" w:rsidRPr="00734132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, James Cook University, Douglas, QLD 4811, Australia</w:t>
      </w:r>
    </w:p>
    <w:p w14:paraId="6F3C7B92" w14:textId="27869296" w:rsidR="00652CFE" w:rsidRPr="00734132" w:rsidRDefault="00196806" w:rsidP="004E6E53">
      <w:pPr>
        <w:spacing w:after="0" w:line="240" w:lineRule="auto"/>
        <w:ind w:right="-720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r w:rsidRPr="00734132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e</w:t>
      </w:r>
      <w:r w:rsidR="00652CFE"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Department of Aquatic Product Technology, Faculty of Fisheries and Marine Sciences, I</w:t>
      </w:r>
      <w:r w:rsidR="00384092">
        <w:rPr>
          <w:rFonts w:ascii="Times New Roman" w:hAnsi="Times New Roman" w:cs="Times New Roman"/>
          <w:i/>
          <w:iCs/>
          <w:sz w:val="16"/>
          <w:szCs w:val="16"/>
          <w:lang w:val="en-US"/>
        </w:rPr>
        <w:t>PB</w:t>
      </w:r>
      <w:r w:rsidR="00652CFE"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University, Bogor 16680, Indonesia</w:t>
      </w:r>
    </w:p>
    <w:p w14:paraId="7E5D769D" w14:textId="5A193151" w:rsidR="00652CFE" w:rsidRDefault="00196806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734132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f</w:t>
      </w:r>
      <w:r w:rsidR="00652CFE"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Bioinformatics Institute (BII), Agency for Science, Technology and Research (A*STAR), Singapore 138671, Singapore</w:t>
      </w:r>
    </w:p>
    <w:p w14:paraId="394554BA" w14:textId="5E96D016" w:rsidR="00350DC6" w:rsidRPr="00734132" w:rsidRDefault="00350DC6" w:rsidP="00350DC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g</w:t>
      </w:r>
      <w:r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National Centre for Food Science, Singapore Food Agency, Singapore 609919, Singapore</w:t>
      </w:r>
    </w:p>
    <w:p w14:paraId="629C587F" w14:textId="556A5372" w:rsidR="00652CFE" w:rsidRPr="00734132" w:rsidRDefault="00350DC6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h</w:t>
      </w:r>
      <w:r w:rsidR="00652CFE"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Department of Biological Sciences, National University of Singapore, Singapore 117543, Singapore</w:t>
      </w:r>
    </w:p>
    <w:p w14:paraId="7EF6DB1B" w14:textId="6380D7FB" w:rsidR="00652CFE" w:rsidRPr="00734132" w:rsidRDefault="00196806" w:rsidP="004E6E53">
      <w:pPr>
        <w:spacing w:after="0" w:line="240" w:lineRule="auto"/>
        <w:ind w:right="-720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r w:rsidRPr="00734132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vertAlign w:val="superscript"/>
        </w:rPr>
        <w:t>i</w:t>
      </w:r>
      <w:r w:rsidR="00652CFE" w:rsidRPr="00734132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Bio21 Molecular Science and Biotechnology Institute, University of Melbourne, Parkville, Victoria 3010, Australia</w:t>
      </w:r>
    </w:p>
    <w:p w14:paraId="3821A13A" w14:textId="238EAF3B" w:rsidR="00652CFE" w:rsidRPr="00734132" w:rsidRDefault="00196806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734132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j</w:t>
      </w:r>
      <w:r w:rsidR="00652CFE"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Department of Pediatrics, Yong Loo Lin School of Medicine, National University of Singapore, Singapore 119228, Singapore</w:t>
      </w:r>
    </w:p>
    <w:p w14:paraId="7D330535" w14:textId="7AB5E2EA" w:rsidR="00652CFE" w:rsidRPr="00734132" w:rsidRDefault="00196806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734132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k</w:t>
      </w:r>
      <w:r w:rsidR="00652CFE"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Khoo Teck Puat - National University Children’s Medical Institute, National University Health System, Singapore 119074, Singapore</w:t>
      </w:r>
    </w:p>
    <w:p w14:paraId="4707E998" w14:textId="595B2F29" w:rsidR="004E6E53" w:rsidRPr="00734132" w:rsidRDefault="00196806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734132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l</w:t>
      </w:r>
      <w:r w:rsidR="00652CFE"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Division of Allergy and Immunology, Department of Pediatrics, Hassenfeld Children's Hospital, NYU Grossman School of Medicine,</w:t>
      </w:r>
    </w:p>
    <w:p w14:paraId="5342D5C1" w14:textId="533583A3" w:rsidR="00652CFE" w:rsidRPr="00734132" w:rsidRDefault="00652CFE" w:rsidP="004E6E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en-US"/>
        </w:rPr>
        <w:sectPr w:rsidR="00652CFE" w:rsidRPr="00734132" w:rsidSect="00431340">
          <w:footerReference w:type="default" r:id="rId11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34132">
        <w:rPr>
          <w:rFonts w:ascii="Times New Roman" w:hAnsi="Times New Roman" w:cs="Times New Roman"/>
          <w:i/>
          <w:iCs/>
          <w:sz w:val="16"/>
          <w:szCs w:val="16"/>
          <w:lang w:val="en-US"/>
        </w:rPr>
        <w:t>New York, NY 10016, USA</w:t>
      </w:r>
    </w:p>
    <w:p w14:paraId="7715227C" w14:textId="77777777" w:rsidR="00431340" w:rsidRDefault="00431340" w:rsidP="00AA11EA">
      <w:pPr>
        <w:pStyle w:val="Els-Abstract-head"/>
        <w:spacing w:before="120" w:after="120" w:line="240" w:lineRule="auto"/>
        <w:rPr>
          <w:sz w:val="20"/>
        </w:rPr>
      </w:pPr>
      <w:r w:rsidRPr="00734132">
        <w:rPr>
          <w:sz w:val="20"/>
        </w:rPr>
        <w:t>Abstract</w:t>
      </w:r>
    </w:p>
    <w:p w14:paraId="0B5A9271" w14:textId="689E56EC" w:rsidR="00641842" w:rsidRPr="00752B13" w:rsidRDefault="005043FD" w:rsidP="00752B13">
      <w:pPr>
        <w:jc w:val="both"/>
        <w:rPr>
          <w:rFonts w:ascii="Times New Roman" w:hAnsi="Times New Roman" w:cs="Times New Roman"/>
          <w:sz w:val="20"/>
          <w:szCs w:val="20"/>
        </w:rPr>
      </w:pPr>
      <w:r w:rsidRPr="005043FD">
        <w:rPr>
          <w:rFonts w:ascii="Times New Roman" w:hAnsi="Times New Roman" w:cs="Times New Roman"/>
          <w:sz w:val="20"/>
          <w:szCs w:val="20"/>
          <w:lang w:val="en-US"/>
        </w:rPr>
        <w:t>Food allergy</w:t>
      </w:r>
      <w:r w:rsidR="0090673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043FD">
        <w:rPr>
          <w:rFonts w:ascii="Times New Roman" w:hAnsi="Times New Roman" w:cs="Times New Roman"/>
          <w:sz w:val="20"/>
          <w:szCs w:val="20"/>
          <w:lang w:val="en-US"/>
        </w:rPr>
        <w:t>is a</w:t>
      </w:r>
      <w:r w:rsidR="001564E5">
        <w:rPr>
          <w:rFonts w:ascii="Times New Roman" w:hAnsi="Times New Roman" w:cs="Times New Roman"/>
          <w:sz w:val="20"/>
          <w:szCs w:val="20"/>
          <w:lang w:val="en-US"/>
        </w:rPr>
        <w:t xml:space="preserve"> pathological </w:t>
      </w:r>
      <w:r w:rsidRPr="005043FD">
        <w:rPr>
          <w:rFonts w:ascii="Times New Roman" w:hAnsi="Times New Roman" w:cs="Times New Roman"/>
          <w:sz w:val="20"/>
          <w:szCs w:val="20"/>
          <w:lang w:val="en-US"/>
        </w:rPr>
        <w:t xml:space="preserve">immune response to food that has been increasing </w:t>
      </w:r>
      <w:r w:rsidR="00F96F14">
        <w:rPr>
          <w:rFonts w:ascii="Times New Roman" w:hAnsi="Times New Roman" w:cs="Times New Roman"/>
          <w:sz w:val="20"/>
          <w:szCs w:val="20"/>
          <w:lang w:val="en-US"/>
        </w:rPr>
        <w:t>globally</w:t>
      </w:r>
      <w:r w:rsidR="009C7D0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5043FD">
        <w:rPr>
          <w:rFonts w:ascii="Times New Roman" w:hAnsi="Times New Roman" w:cs="Times New Roman"/>
          <w:sz w:val="20"/>
          <w:szCs w:val="20"/>
          <w:lang w:val="en-US"/>
        </w:rPr>
        <w:t xml:space="preserve">posing </w:t>
      </w:r>
      <w:r w:rsidR="0090673A"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="00A84423">
        <w:rPr>
          <w:rFonts w:ascii="Times New Roman" w:hAnsi="Times New Roman" w:cs="Times New Roman"/>
          <w:sz w:val="20"/>
          <w:szCs w:val="20"/>
          <w:lang w:val="en-US"/>
        </w:rPr>
        <w:t xml:space="preserve">critical </w:t>
      </w:r>
      <w:r w:rsidR="009C7D00">
        <w:rPr>
          <w:rFonts w:ascii="Times New Roman" w:hAnsi="Times New Roman" w:cs="Times New Roman"/>
          <w:sz w:val="20"/>
          <w:szCs w:val="20"/>
          <w:lang w:val="en-US"/>
        </w:rPr>
        <w:t>food safety concern</w:t>
      </w:r>
      <w:r w:rsidRPr="005043FD">
        <w:rPr>
          <w:rFonts w:ascii="Times New Roman" w:hAnsi="Times New Roman" w:cs="Times New Roman"/>
          <w:sz w:val="20"/>
          <w:szCs w:val="20"/>
          <w:lang w:val="en-US"/>
        </w:rPr>
        <w:t xml:space="preserve">. Shellfish is one of the nine major </w:t>
      </w:r>
      <w:r w:rsidR="002567A8">
        <w:rPr>
          <w:rFonts w:ascii="Times New Roman" w:hAnsi="Times New Roman" w:cs="Times New Roman"/>
          <w:sz w:val="20"/>
          <w:szCs w:val="20"/>
          <w:lang w:val="en-US"/>
        </w:rPr>
        <w:t xml:space="preserve">food </w:t>
      </w:r>
      <w:r w:rsidRPr="005043FD">
        <w:rPr>
          <w:rFonts w:ascii="Times New Roman" w:hAnsi="Times New Roman" w:cs="Times New Roman"/>
          <w:sz w:val="20"/>
          <w:szCs w:val="20"/>
          <w:lang w:val="en-US"/>
        </w:rPr>
        <w:t xml:space="preserve">sources of </w:t>
      </w:r>
      <w:r w:rsidR="002567A8">
        <w:rPr>
          <w:rFonts w:ascii="Times New Roman" w:hAnsi="Times New Roman" w:cs="Times New Roman"/>
          <w:sz w:val="20"/>
          <w:szCs w:val="20"/>
          <w:lang w:val="en-US"/>
        </w:rPr>
        <w:t>allergenic proteins (</w:t>
      </w:r>
      <w:r w:rsidRPr="005043FD">
        <w:rPr>
          <w:rFonts w:ascii="Times New Roman" w:hAnsi="Times New Roman" w:cs="Times New Roman"/>
          <w:sz w:val="20"/>
          <w:szCs w:val="20"/>
          <w:lang w:val="en-US"/>
        </w:rPr>
        <w:t>allergens</w:t>
      </w:r>
      <w:r w:rsidR="002567A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5043F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2567A8">
        <w:rPr>
          <w:rFonts w:ascii="Times New Roman" w:hAnsi="Times New Roman" w:cs="Times New Roman"/>
          <w:sz w:val="20"/>
          <w:szCs w:val="20"/>
          <w:lang w:val="en-US"/>
        </w:rPr>
        <w:t>We previously demonstrated</w:t>
      </w:r>
      <w:r w:rsidR="0090673A">
        <w:rPr>
          <w:rFonts w:ascii="Times New Roman" w:hAnsi="Times New Roman" w:cs="Times New Roman"/>
          <w:sz w:val="20"/>
          <w:szCs w:val="20"/>
          <w:lang w:val="en-US"/>
        </w:rPr>
        <w:t xml:space="preserve"> that shellfish origin and temperature-driven environmental changes influence allergen diversity, suggesting that climate change alters allergen profiles and affects</w:t>
      </w:r>
      <w:r w:rsidRPr="005043FD">
        <w:rPr>
          <w:rFonts w:ascii="Times New Roman" w:hAnsi="Times New Roman" w:cs="Times New Roman"/>
          <w:sz w:val="20"/>
          <w:szCs w:val="20"/>
          <w:lang w:val="en-US"/>
        </w:rPr>
        <w:t xml:space="preserve"> allergy outcomes.</w:t>
      </w:r>
      <w:r w:rsidR="0090673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83C75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>his study</w:t>
      </w:r>
      <w:r w:rsidR="00A83C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aimed to enhance </w:t>
      </w:r>
      <w:r w:rsidR="002567A8">
        <w:rPr>
          <w:rFonts w:ascii="Times New Roman" w:hAnsi="Times New Roman" w:cs="Times New Roman"/>
          <w:sz w:val="20"/>
          <w:szCs w:val="20"/>
          <w:lang w:val="en-US"/>
        </w:rPr>
        <w:t xml:space="preserve">seafood safety and 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shellfish allergy diagnosis by (i) systematically evaluating the impact of protein extraction </w:t>
      </w:r>
      <w:r w:rsidR="009B69B2" w:rsidRPr="00B40A0F">
        <w:rPr>
          <w:rFonts w:ascii="Times New Roman" w:hAnsi="Times New Roman" w:cs="Times New Roman"/>
          <w:sz w:val="20"/>
          <w:szCs w:val="20"/>
          <w:lang w:val="en-US"/>
        </w:rPr>
        <w:t>buffer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166CE">
        <w:rPr>
          <w:rFonts w:ascii="Times New Roman" w:hAnsi="Times New Roman" w:cs="Times New Roman"/>
          <w:sz w:val="20"/>
          <w:szCs w:val="20"/>
          <w:lang w:val="en-US"/>
        </w:rPr>
        <w:t xml:space="preserve">composition 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on allergen </w:t>
      </w:r>
      <w:r w:rsidR="00C6035F" w:rsidRPr="00B40A0F">
        <w:rPr>
          <w:rFonts w:ascii="Times New Roman" w:hAnsi="Times New Roman" w:cs="Times New Roman"/>
          <w:sz w:val="20"/>
          <w:szCs w:val="20"/>
          <w:lang w:val="en-US"/>
        </w:rPr>
        <w:t>detection and quantification</w:t>
      </w:r>
      <w:r w:rsidR="00D46CA8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in protein extracts</w:t>
      </w:r>
      <w:r w:rsidR="00AA0052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1D411A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the two most widely consumed </w:t>
      </w:r>
      <w:r w:rsidR="0013680E">
        <w:rPr>
          <w:rFonts w:ascii="Times New Roman" w:hAnsi="Times New Roman" w:cs="Times New Roman"/>
          <w:sz w:val="20"/>
          <w:szCs w:val="20"/>
          <w:lang w:val="en-US"/>
        </w:rPr>
        <w:t>shellfish</w:t>
      </w:r>
      <w:r w:rsidR="001D411A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species, black tiger prawn (BTP, </w:t>
      </w:r>
      <w:r w:rsidR="001D411A" w:rsidRPr="00B40A0F">
        <w:rPr>
          <w:rFonts w:ascii="Times New Roman" w:hAnsi="Times New Roman" w:cs="Times New Roman"/>
          <w:i/>
          <w:iCs/>
          <w:sz w:val="20"/>
          <w:szCs w:val="20"/>
          <w:lang w:val="en-US"/>
        </w:rPr>
        <w:t>Penaeus monodon</w:t>
      </w:r>
      <w:r w:rsidR="001D411A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) and white leg prawn (WLP, </w:t>
      </w:r>
      <w:r w:rsidR="001D411A" w:rsidRPr="00B40A0F">
        <w:rPr>
          <w:rFonts w:ascii="Times New Roman" w:hAnsi="Times New Roman" w:cs="Times New Roman"/>
          <w:i/>
          <w:iCs/>
          <w:sz w:val="20"/>
          <w:szCs w:val="20"/>
          <w:lang w:val="en-US"/>
        </w:rPr>
        <w:t>Litopenaeus vannamei</w:t>
      </w:r>
      <w:r w:rsidR="001D411A" w:rsidRPr="00B40A0F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1D411A">
        <w:rPr>
          <w:rFonts w:ascii="Times New Roman" w:hAnsi="Times New Roman" w:cs="Times New Roman"/>
          <w:sz w:val="20"/>
          <w:szCs w:val="20"/>
          <w:lang w:val="en-US"/>
        </w:rPr>
        <w:t>, and</w:t>
      </w:r>
      <w:r w:rsidR="00AB1CE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82CD4" w:rsidRPr="00B40A0F">
        <w:rPr>
          <w:rFonts w:ascii="Times New Roman" w:hAnsi="Times New Roman" w:cs="Times New Roman"/>
          <w:sz w:val="20"/>
          <w:szCs w:val="20"/>
          <w:lang w:val="en-US"/>
        </w:rPr>
        <w:t>(i</w:t>
      </w:r>
      <w:r w:rsidR="0002454C" w:rsidRPr="00B40A0F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682CD4" w:rsidRPr="00B40A0F">
        <w:rPr>
          <w:rFonts w:ascii="Times New Roman" w:hAnsi="Times New Roman" w:cs="Times New Roman"/>
          <w:sz w:val="20"/>
          <w:szCs w:val="20"/>
          <w:lang w:val="en-US"/>
        </w:rPr>
        <w:t>) comparing allergen profiles between</w:t>
      </w:r>
      <w:r w:rsidR="001D41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B7E07">
        <w:rPr>
          <w:rFonts w:ascii="Times New Roman" w:hAnsi="Times New Roman" w:cs="Times New Roman"/>
          <w:sz w:val="20"/>
          <w:szCs w:val="20"/>
          <w:lang w:val="en-US"/>
        </w:rPr>
        <w:t>the two species</w:t>
      </w:r>
      <w:r w:rsidR="00316643" w:rsidRPr="00B40A0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35EF8" w:rsidRPr="00335EF8">
        <w:rPr>
          <w:rFonts w:ascii="Times New Roman" w:hAnsi="Times New Roman" w:cs="Times New Roman"/>
          <w:sz w:val="20"/>
          <w:szCs w:val="20"/>
          <w:lang w:val="en-US"/>
        </w:rPr>
        <w:t xml:space="preserve">To address the limitations of standard protocols, </w:t>
      </w:r>
      <w:r w:rsidR="00335EF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roteins were extracted from raw and boiled muscle tissues using four buffer systems: urea-based, sodium dodecyl sulphate (SDS)-based, SDS with reducing agent, and phosphate-buffered saline (PBS), the most commonly used buffer in allergy research. Protein profiles were assessed by SDS-PAGE and immunoblotting, followed by identification and quantification using label-free </w:t>
      </w:r>
      <w:r w:rsidR="004F18D3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liquid chromatography-tandem mass spectrometry. </w:t>
      </w:r>
      <w:r w:rsidR="009C42D4" w:rsidRPr="00B40A0F">
        <w:rPr>
          <w:rFonts w:ascii="Times New Roman" w:hAnsi="Times New Roman" w:cs="Times New Roman"/>
          <w:sz w:val="20"/>
          <w:szCs w:val="20"/>
        </w:rPr>
        <w:t xml:space="preserve">Allergenicity </w:t>
      </w:r>
      <w:r w:rsidR="00962DE4">
        <w:rPr>
          <w:rFonts w:ascii="Times New Roman" w:hAnsi="Times New Roman" w:cs="Times New Roman"/>
          <w:sz w:val="20"/>
          <w:szCs w:val="20"/>
        </w:rPr>
        <w:t xml:space="preserve">of proteins </w:t>
      </w:r>
      <w:r w:rsidR="009C42D4" w:rsidRPr="00B40A0F">
        <w:rPr>
          <w:rFonts w:ascii="Times New Roman" w:hAnsi="Times New Roman" w:cs="Times New Roman"/>
          <w:sz w:val="20"/>
          <w:szCs w:val="20"/>
        </w:rPr>
        <w:t xml:space="preserve">was predicted using AllerCatPro and further evaluated using sera from individuals with clinically confirmed shellfish allergy. Relative </w:t>
      </w:r>
      <w:r w:rsidR="00752B13">
        <w:rPr>
          <w:rFonts w:ascii="Times New Roman" w:hAnsi="Times New Roman" w:cs="Times New Roman"/>
          <w:sz w:val="20"/>
          <w:szCs w:val="20"/>
        </w:rPr>
        <w:t>and differential allergen abundances</w:t>
      </w:r>
      <w:r w:rsidR="009C42D4" w:rsidRPr="00B40A0F">
        <w:rPr>
          <w:rFonts w:ascii="Times New Roman" w:hAnsi="Times New Roman" w:cs="Times New Roman"/>
          <w:sz w:val="20"/>
          <w:szCs w:val="20"/>
        </w:rPr>
        <w:t xml:space="preserve"> </w:t>
      </w:r>
      <w:r w:rsidR="00B40626">
        <w:rPr>
          <w:rFonts w:ascii="Times New Roman" w:hAnsi="Times New Roman" w:cs="Times New Roman"/>
          <w:sz w:val="20"/>
          <w:szCs w:val="20"/>
        </w:rPr>
        <w:t>were</w:t>
      </w:r>
      <w:r w:rsidR="009C42D4" w:rsidRPr="00B40A0F">
        <w:rPr>
          <w:rFonts w:ascii="Times New Roman" w:hAnsi="Times New Roman" w:cs="Times New Roman"/>
          <w:sz w:val="20"/>
          <w:szCs w:val="20"/>
        </w:rPr>
        <w:t xml:space="preserve"> determined </w:t>
      </w:r>
      <w:r w:rsidR="003F50B1">
        <w:rPr>
          <w:rFonts w:ascii="Times New Roman" w:hAnsi="Times New Roman" w:cs="Times New Roman"/>
          <w:sz w:val="20"/>
          <w:szCs w:val="20"/>
        </w:rPr>
        <w:t>using intensity-based absolute quantification (iBAQ%) and label-free quantification (LFQ)</w:t>
      </w:r>
      <w:r w:rsidR="00B40626">
        <w:rPr>
          <w:rFonts w:ascii="Times New Roman" w:hAnsi="Times New Roman" w:cs="Times New Roman"/>
          <w:sz w:val="20"/>
          <w:szCs w:val="20"/>
          <w:lang w:val="en-US"/>
        </w:rPr>
        <w:t>, respectively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821C0E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Extraction buffer composition and </w:t>
      </w:r>
      <w:r w:rsidR="00DE72EF" w:rsidRPr="00B40A0F">
        <w:rPr>
          <w:rFonts w:ascii="Times New Roman" w:hAnsi="Times New Roman" w:cs="Times New Roman"/>
          <w:sz w:val="20"/>
          <w:szCs w:val="20"/>
          <w:lang w:val="en-US"/>
        </w:rPr>
        <w:t>tissue condition</w:t>
      </w:r>
      <w:r w:rsidR="003331D1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>significantly affected allergen diversity and relative abundance. While PBS extraction yielded the highest total relative allergen abundance (~84</w:t>
      </w:r>
      <w:r w:rsidR="004A6DE4" w:rsidRPr="00B40A0F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>95%), it showed limited allergen diversity and poor recovery of key allergens</w:t>
      </w:r>
      <w:r w:rsidR="00C82DB5" w:rsidRPr="00B40A0F">
        <w:rPr>
          <w:rFonts w:ascii="Times New Roman" w:hAnsi="Times New Roman" w:cs="Times New Roman"/>
          <w:sz w:val="20"/>
          <w:szCs w:val="20"/>
          <w:lang w:val="en-US"/>
        </w:rPr>
        <w:t>, such as tropomyosin from raw tissues and arginine kinase from</w:t>
      </w:r>
      <w:r w:rsidR="004A6DE4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boiled tissues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>. In contrast, urea</w:t>
      </w:r>
      <w:r w:rsidR="004A6DE4" w:rsidRPr="00B40A0F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and SDS-based extract</w:t>
      </w:r>
      <w:r w:rsidR="0097574A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enabled broader allergen detection</w:t>
      </w:r>
      <w:r w:rsidR="00E871D7">
        <w:rPr>
          <w:rFonts w:ascii="Times New Roman" w:hAnsi="Times New Roman" w:cs="Times New Roman"/>
          <w:sz w:val="20"/>
          <w:szCs w:val="20"/>
          <w:lang w:val="en-US"/>
        </w:rPr>
        <w:t>, with urea-based extract</w:t>
      </w:r>
      <w:r w:rsidR="0097574A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E871D7">
        <w:rPr>
          <w:rFonts w:ascii="Times New Roman" w:hAnsi="Times New Roman" w:cs="Times New Roman"/>
          <w:sz w:val="20"/>
          <w:szCs w:val="20"/>
          <w:lang w:val="en-US"/>
        </w:rPr>
        <w:t xml:space="preserve"> from boiled tissues providing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the most </w:t>
      </w:r>
      <w:r w:rsidR="009734B5" w:rsidRPr="00B40A0F">
        <w:rPr>
          <w:rFonts w:ascii="Times New Roman" w:hAnsi="Times New Roman" w:cs="Times New Roman"/>
          <w:sz w:val="20"/>
          <w:szCs w:val="20"/>
          <w:lang w:val="en-US"/>
        </w:rPr>
        <w:t>favourable</w:t>
      </w:r>
      <w:r w:rsidR="00C82DB5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 conditions</w:t>
      </w:r>
      <w:r w:rsidR="001143C5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880C7B">
        <w:rPr>
          <w:rFonts w:ascii="Times New Roman" w:hAnsi="Times New Roman" w:cs="Times New Roman"/>
          <w:sz w:val="20"/>
          <w:szCs w:val="20"/>
          <w:lang w:val="en-US"/>
        </w:rPr>
        <w:t>immun</w:t>
      </w:r>
      <w:r w:rsidR="00CF533A">
        <w:rPr>
          <w:rFonts w:ascii="Times New Roman" w:hAnsi="Times New Roman" w:cs="Times New Roman"/>
          <w:sz w:val="20"/>
          <w:szCs w:val="20"/>
          <w:lang w:val="en-US"/>
        </w:rPr>
        <w:t>oassay</w:t>
      </w:r>
      <w:r w:rsidR="00880C7B">
        <w:rPr>
          <w:rFonts w:ascii="Times New Roman" w:hAnsi="Times New Roman" w:cs="Times New Roman"/>
          <w:sz w:val="20"/>
          <w:szCs w:val="20"/>
          <w:lang w:val="en-US"/>
        </w:rPr>
        <w:t xml:space="preserve">-based </w:t>
      </w:r>
      <w:r w:rsidR="004A16FC">
        <w:rPr>
          <w:rFonts w:ascii="Times New Roman" w:hAnsi="Times New Roman" w:cs="Times New Roman"/>
          <w:sz w:val="20"/>
          <w:szCs w:val="20"/>
          <w:lang w:val="en-US"/>
        </w:rPr>
        <w:t xml:space="preserve">allergen </w:t>
      </w:r>
      <w:r w:rsidR="00A92CB9">
        <w:rPr>
          <w:rFonts w:ascii="Times New Roman" w:hAnsi="Times New Roman" w:cs="Times New Roman"/>
          <w:sz w:val="20"/>
          <w:szCs w:val="20"/>
          <w:lang w:val="en-US"/>
        </w:rPr>
        <w:t>detection</w:t>
      </w:r>
      <w:r w:rsidR="00617147" w:rsidRPr="00B40A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A76E0B" w:rsidRPr="00A76E0B">
        <w:rPr>
          <w:rFonts w:ascii="Times New Roman" w:hAnsi="Times New Roman" w:cs="Times New Roman"/>
          <w:sz w:val="20"/>
          <w:szCs w:val="20"/>
          <w:lang w:val="en-US"/>
        </w:rPr>
        <w:t>Distinct species-specific differences in allergen profiles were observed</w:t>
      </w:r>
      <w:r w:rsidR="001D218C">
        <w:rPr>
          <w:rFonts w:ascii="Times New Roman" w:hAnsi="Times New Roman" w:cs="Times New Roman"/>
          <w:sz w:val="20"/>
          <w:szCs w:val="20"/>
          <w:lang w:val="en-US"/>
        </w:rPr>
        <w:t>, with nine unique allergen isoforms in BTP and seven in</w:t>
      </w:r>
      <w:r w:rsidR="00A76E0B" w:rsidRPr="00A76E0B">
        <w:rPr>
          <w:rFonts w:ascii="Times New Roman" w:hAnsi="Times New Roman" w:cs="Times New Roman"/>
          <w:sz w:val="20"/>
          <w:szCs w:val="20"/>
          <w:lang w:val="en-US"/>
        </w:rPr>
        <w:t xml:space="preserve"> WLP, potentially contributing to species-specific allergic responses. </w:t>
      </w:r>
      <w:r w:rsidR="00C6377D">
        <w:rPr>
          <w:rFonts w:ascii="Times New Roman" w:hAnsi="Times New Roman" w:cs="Times New Roman"/>
          <w:sz w:val="20"/>
          <w:szCs w:val="20"/>
          <w:lang w:val="en-US"/>
        </w:rPr>
        <w:t xml:space="preserve">Through an integrated </w:t>
      </w:r>
      <w:r w:rsidR="00E35812">
        <w:rPr>
          <w:rFonts w:ascii="Times New Roman" w:hAnsi="Times New Roman" w:cs="Times New Roman"/>
          <w:sz w:val="20"/>
          <w:szCs w:val="20"/>
          <w:lang w:val="en-US"/>
        </w:rPr>
        <w:t>proteomics workflow</w:t>
      </w:r>
      <w:r w:rsidR="00F54B4F" w:rsidRPr="00F54B4F">
        <w:rPr>
          <w:rFonts w:ascii="Times New Roman" w:hAnsi="Times New Roman" w:cs="Times New Roman"/>
          <w:sz w:val="20"/>
          <w:szCs w:val="20"/>
          <w:lang w:val="en-US"/>
        </w:rPr>
        <w:t xml:space="preserve">, this study highlights the combined impact of species variation and protein extraction on shellfish allergen detection, providing a foundation for improved diagnosis, standardized workflows, and </w:t>
      </w:r>
      <w:r w:rsidR="00133B60">
        <w:rPr>
          <w:rFonts w:ascii="Times New Roman" w:hAnsi="Times New Roman" w:cs="Times New Roman"/>
          <w:sz w:val="20"/>
          <w:szCs w:val="20"/>
          <w:lang w:val="en-US"/>
        </w:rPr>
        <w:t>more effective</w:t>
      </w:r>
      <w:r w:rsidR="00F54B4F" w:rsidRPr="00F54B4F">
        <w:rPr>
          <w:rFonts w:ascii="Times New Roman" w:hAnsi="Times New Roman" w:cs="Times New Roman"/>
          <w:sz w:val="20"/>
          <w:szCs w:val="20"/>
          <w:lang w:val="en-US"/>
        </w:rPr>
        <w:t xml:space="preserve"> management of shellfish allergy through </w:t>
      </w:r>
      <w:r w:rsidR="00133B60">
        <w:rPr>
          <w:rFonts w:ascii="Times New Roman" w:hAnsi="Times New Roman" w:cs="Times New Roman"/>
          <w:sz w:val="20"/>
          <w:szCs w:val="20"/>
          <w:lang w:val="en-US"/>
        </w:rPr>
        <w:t>enhanced</w:t>
      </w:r>
      <w:r w:rsidR="00F54B4F" w:rsidRPr="00F54B4F">
        <w:rPr>
          <w:rFonts w:ascii="Times New Roman" w:hAnsi="Times New Roman" w:cs="Times New Roman"/>
          <w:sz w:val="20"/>
          <w:szCs w:val="20"/>
          <w:lang w:val="en-US"/>
        </w:rPr>
        <w:t xml:space="preserve"> food safety assessment</w:t>
      </w:r>
      <w:r w:rsidR="002567A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F54B4F" w:rsidRPr="00F54B4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6F2F4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sectPr w:rsidR="00641842" w:rsidRPr="00752B13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6316" w14:textId="77777777" w:rsidR="00A32913" w:rsidRDefault="00A32913" w:rsidP="00431340">
      <w:pPr>
        <w:spacing w:after="0" w:line="240" w:lineRule="auto"/>
      </w:pPr>
      <w:r>
        <w:separator/>
      </w:r>
    </w:p>
  </w:endnote>
  <w:endnote w:type="continuationSeparator" w:id="0">
    <w:p w14:paraId="510135B9" w14:textId="77777777" w:rsidR="00A32913" w:rsidRDefault="00A32913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273E" w14:textId="2F333043" w:rsidR="00977F7E" w:rsidRPr="000D192E" w:rsidRDefault="00C61A87" w:rsidP="00205D06">
    <w:pPr>
      <w:pStyle w:val="Els-footnote"/>
      <w:ind w:firstLine="0"/>
      <w:jc w:val="left"/>
      <w:rPr>
        <w:i/>
        <w:iCs/>
        <w:sz w:val="18"/>
        <w:szCs w:val="18"/>
      </w:rPr>
    </w:pPr>
    <w:r w:rsidRPr="00BF77A7">
      <w:rPr>
        <w:sz w:val="18"/>
        <w:szCs w:val="18"/>
      </w:rPr>
      <w:t xml:space="preserve">* </w:t>
    </w:r>
    <w:bookmarkStart w:id="1" w:name="_Hlk211087958"/>
    <w:bookmarkStart w:id="2" w:name="_Hlk211087959"/>
    <w:bookmarkStart w:id="3" w:name="_Hlk211088033"/>
    <w:bookmarkStart w:id="4" w:name="_Hlk211088034"/>
    <w:r w:rsidRPr="00BF77A7">
      <w:rPr>
        <w:sz w:val="18"/>
        <w:szCs w:val="18"/>
      </w:rPr>
      <w:t xml:space="preserve">Corresponding author </w:t>
    </w:r>
    <w:r w:rsidRPr="00BF77A7">
      <w:rPr>
        <w:i/>
        <w:iCs/>
        <w:sz w:val="18"/>
        <w:szCs w:val="18"/>
      </w:rPr>
      <w:t>E-mail address</w:t>
    </w:r>
    <w:r w:rsidR="00056F2D">
      <w:rPr>
        <w:i/>
        <w:iCs/>
        <w:sz w:val="18"/>
        <w:szCs w:val="18"/>
      </w:rPr>
      <w:t>es</w:t>
    </w:r>
    <w:r w:rsidRPr="00056F2D">
      <w:rPr>
        <w:sz w:val="18"/>
        <w:szCs w:val="18"/>
      </w:rPr>
      <w:t>:</w:t>
    </w:r>
    <w:r w:rsidRPr="00BF77A7">
      <w:rPr>
        <w:sz w:val="18"/>
        <w:szCs w:val="18"/>
      </w:rPr>
      <w:t xml:space="preserve"> </w:t>
    </w:r>
    <w:bookmarkEnd w:id="1"/>
    <w:bookmarkEnd w:id="2"/>
    <w:bookmarkEnd w:id="3"/>
    <w:bookmarkEnd w:id="4"/>
    <w:r w:rsidR="00B61E74" w:rsidRPr="000D192E">
      <w:rPr>
        <w:i/>
        <w:iCs/>
        <w:color w:val="000000" w:themeColor="text1"/>
        <w:sz w:val="18"/>
        <w:szCs w:val="18"/>
      </w:rPr>
      <w:fldChar w:fldCharType="begin"/>
    </w:r>
    <w:r w:rsidR="00B61E74" w:rsidRPr="000D192E">
      <w:rPr>
        <w:i/>
        <w:iCs/>
        <w:color w:val="000000" w:themeColor="text1"/>
        <w:sz w:val="18"/>
        <w:szCs w:val="18"/>
      </w:rPr>
      <w:instrText>HYPERLINK "mailto:andreas.lopata@jcu.edu.au"</w:instrText>
    </w:r>
    <w:r w:rsidR="00B61E74" w:rsidRPr="000D192E">
      <w:rPr>
        <w:i/>
        <w:iCs/>
        <w:color w:val="000000" w:themeColor="text1"/>
        <w:sz w:val="18"/>
        <w:szCs w:val="18"/>
      </w:rPr>
    </w:r>
    <w:r w:rsidR="00B61E74" w:rsidRPr="000D192E">
      <w:rPr>
        <w:i/>
        <w:iCs/>
        <w:color w:val="000000" w:themeColor="text1"/>
        <w:sz w:val="18"/>
        <w:szCs w:val="18"/>
      </w:rPr>
      <w:fldChar w:fldCharType="separate"/>
    </w:r>
    <w:r w:rsidR="00B61E74" w:rsidRPr="000D192E">
      <w:rPr>
        <w:rStyle w:val="Hyperlink"/>
        <w:i/>
        <w:iCs/>
        <w:color w:val="000000" w:themeColor="text1"/>
        <w:sz w:val="18"/>
        <w:szCs w:val="18"/>
        <w:u w:val="none"/>
      </w:rPr>
      <w:t>andreas.lopata@jcu.edu.au</w:t>
    </w:r>
    <w:r w:rsidR="00B61E74" w:rsidRPr="000D192E">
      <w:rPr>
        <w:i/>
        <w:iCs/>
        <w:color w:val="000000" w:themeColor="text1"/>
        <w:sz w:val="18"/>
        <w:szCs w:val="18"/>
      </w:rPr>
      <w:fldChar w:fldCharType="end"/>
    </w:r>
  </w:p>
  <w:p w14:paraId="3C85D731" w14:textId="24B1F5AF" w:rsidR="00827794" w:rsidRPr="000D192E" w:rsidRDefault="00977F7E" w:rsidP="00AA11EA">
    <w:pPr>
      <w:pStyle w:val="Els-footnote"/>
      <w:ind w:firstLine="120"/>
      <w:jc w:val="left"/>
      <w:rPr>
        <w:i/>
        <w:iCs/>
        <w:sz w:val="18"/>
        <w:szCs w:val="18"/>
      </w:rPr>
    </w:pPr>
    <w:r>
      <w:rPr>
        <w:sz w:val="18"/>
        <w:szCs w:val="18"/>
      </w:rPr>
      <w:t xml:space="preserve">                                                                  </w:t>
    </w:r>
    <w:r w:rsidR="00296231" w:rsidRPr="000D192E">
      <w:rPr>
        <w:i/>
        <w:iCs/>
        <w:sz w:val="18"/>
        <w:szCs w:val="18"/>
      </w:rPr>
      <w:t>thimo.ruethers@jcu.edu.au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CBD9" w14:textId="77777777" w:rsidR="00A32913" w:rsidRDefault="00A32913" w:rsidP="00431340">
      <w:pPr>
        <w:spacing w:after="0" w:line="240" w:lineRule="auto"/>
      </w:pPr>
      <w:r>
        <w:separator/>
      </w:r>
    </w:p>
  </w:footnote>
  <w:footnote w:type="continuationSeparator" w:id="0">
    <w:p w14:paraId="0EA686DA" w14:textId="77777777" w:rsidR="00A32913" w:rsidRDefault="00A32913" w:rsidP="0043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123"/>
    <w:multiLevelType w:val="multilevel"/>
    <w:tmpl w:val="1960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1"/>
  </w:num>
  <w:num w:numId="2" w16cid:durableId="150458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454C"/>
    <w:rsid w:val="00026F0B"/>
    <w:rsid w:val="00034B28"/>
    <w:rsid w:val="000423CB"/>
    <w:rsid w:val="00047B25"/>
    <w:rsid w:val="0005000D"/>
    <w:rsid w:val="00056F2D"/>
    <w:rsid w:val="00065629"/>
    <w:rsid w:val="00066B9D"/>
    <w:rsid w:val="00072317"/>
    <w:rsid w:val="00085A08"/>
    <w:rsid w:val="00085B82"/>
    <w:rsid w:val="000908E3"/>
    <w:rsid w:val="00095830"/>
    <w:rsid w:val="000A329D"/>
    <w:rsid w:val="000B608E"/>
    <w:rsid w:val="000D192E"/>
    <w:rsid w:val="000E1538"/>
    <w:rsid w:val="000E390C"/>
    <w:rsid w:val="000F6FDF"/>
    <w:rsid w:val="001143C5"/>
    <w:rsid w:val="0013159B"/>
    <w:rsid w:val="00133B60"/>
    <w:rsid w:val="0013680E"/>
    <w:rsid w:val="00146B49"/>
    <w:rsid w:val="00155264"/>
    <w:rsid w:val="001564E5"/>
    <w:rsid w:val="0015666E"/>
    <w:rsid w:val="00161983"/>
    <w:rsid w:val="00173A06"/>
    <w:rsid w:val="0018604C"/>
    <w:rsid w:val="00196806"/>
    <w:rsid w:val="001C2446"/>
    <w:rsid w:val="001C43B5"/>
    <w:rsid w:val="001C4B64"/>
    <w:rsid w:val="001C51B3"/>
    <w:rsid w:val="001C52F2"/>
    <w:rsid w:val="001D218C"/>
    <w:rsid w:val="001D411A"/>
    <w:rsid w:val="001F4BB0"/>
    <w:rsid w:val="00205D06"/>
    <w:rsid w:val="002110DD"/>
    <w:rsid w:val="00211831"/>
    <w:rsid w:val="00213464"/>
    <w:rsid w:val="00216533"/>
    <w:rsid w:val="00226D29"/>
    <w:rsid w:val="00234209"/>
    <w:rsid w:val="002361FF"/>
    <w:rsid w:val="002537DA"/>
    <w:rsid w:val="00255E75"/>
    <w:rsid w:val="002567A8"/>
    <w:rsid w:val="0026648E"/>
    <w:rsid w:val="002713F8"/>
    <w:rsid w:val="00272BA3"/>
    <w:rsid w:val="00273F7B"/>
    <w:rsid w:val="00287245"/>
    <w:rsid w:val="00296231"/>
    <w:rsid w:val="002A0A1C"/>
    <w:rsid w:val="002A2B3C"/>
    <w:rsid w:val="002C4611"/>
    <w:rsid w:val="002C7D43"/>
    <w:rsid w:val="002F5A85"/>
    <w:rsid w:val="00316643"/>
    <w:rsid w:val="003331D1"/>
    <w:rsid w:val="00335EF8"/>
    <w:rsid w:val="00343E5A"/>
    <w:rsid w:val="00350417"/>
    <w:rsid w:val="00350DC6"/>
    <w:rsid w:val="003720A5"/>
    <w:rsid w:val="00372579"/>
    <w:rsid w:val="0037448E"/>
    <w:rsid w:val="0037484D"/>
    <w:rsid w:val="00384092"/>
    <w:rsid w:val="003B0ABD"/>
    <w:rsid w:val="003B1AB9"/>
    <w:rsid w:val="003C3999"/>
    <w:rsid w:val="003C40D9"/>
    <w:rsid w:val="003D5AA6"/>
    <w:rsid w:val="003F19C9"/>
    <w:rsid w:val="003F50B1"/>
    <w:rsid w:val="00417360"/>
    <w:rsid w:val="004173F1"/>
    <w:rsid w:val="00425ED5"/>
    <w:rsid w:val="00431340"/>
    <w:rsid w:val="00444A98"/>
    <w:rsid w:val="00477F5D"/>
    <w:rsid w:val="00497980"/>
    <w:rsid w:val="004A16FC"/>
    <w:rsid w:val="004A475D"/>
    <w:rsid w:val="004A684A"/>
    <w:rsid w:val="004A6DE4"/>
    <w:rsid w:val="004B7E87"/>
    <w:rsid w:val="004C684A"/>
    <w:rsid w:val="004C7508"/>
    <w:rsid w:val="004D1125"/>
    <w:rsid w:val="004D5FFA"/>
    <w:rsid w:val="004E4457"/>
    <w:rsid w:val="004E6E53"/>
    <w:rsid w:val="004F0CE8"/>
    <w:rsid w:val="004F18D3"/>
    <w:rsid w:val="005043FD"/>
    <w:rsid w:val="005108BB"/>
    <w:rsid w:val="005179A8"/>
    <w:rsid w:val="00521877"/>
    <w:rsid w:val="0056104A"/>
    <w:rsid w:val="00561C74"/>
    <w:rsid w:val="005707FE"/>
    <w:rsid w:val="00586EFD"/>
    <w:rsid w:val="005914DC"/>
    <w:rsid w:val="00593EB5"/>
    <w:rsid w:val="0059506C"/>
    <w:rsid w:val="005A28B1"/>
    <w:rsid w:val="005B77D8"/>
    <w:rsid w:val="005C1444"/>
    <w:rsid w:val="005C1A8D"/>
    <w:rsid w:val="005E1D8C"/>
    <w:rsid w:val="005F353B"/>
    <w:rsid w:val="00617147"/>
    <w:rsid w:val="0062460A"/>
    <w:rsid w:val="006313AD"/>
    <w:rsid w:val="006417C2"/>
    <w:rsid w:val="00641842"/>
    <w:rsid w:val="00646E7D"/>
    <w:rsid w:val="00652CFE"/>
    <w:rsid w:val="00653EBF"/>
    <w:rsid w:val="00654033"/>
    <w:rsid w:val="00665C88"/>
    <w:rsid w:val="00670071"/>
    <w:rsid w:val="00673656"/>
    <w:rsid w:val="006754E3"/>
    <w:rsid w:val="00682CD4"/>
    <w:rsid w:val="00685438"/>
    <w:rsid w:val="006865C8"/>
    <w:rsid w:val="006D3652"/>
    <w:rsid w:val="006E3CEB"/>
    <w:rsid w:val="006E6722"/>
    <w:rsid w:val="006F2F4E"/>
    <w:rsid w:val="0070599D"/>
    <w:rsid w:val="007149C2"/>
    <w:rsid w:val="00732182"/>
    <w:rsid w:val="00734132"/>
    <w:rsid w:val="00752B13"/>
    <w:rsid w:val="00762C5E"/>
    <w:rsid w:val="007652A5"/>
    <w:rsid w:val="00766520"/>
    <w:rsid w:val="007679DD"/>
    <w:rsid w:val="00772B06"/>
    <w:rsid w:val="007752C7"/>
    <w:rsid w:val="00777F03"/>
    <w:rsid w:val="0078067E"/>
    <w:rsid w:val="00781D43"/>
    <w:rsid w:val="00786338"/>
    <w:rsid w:val="007C3730"/>
    <w:rsid w:val="007D4460"/>
    <w:rsid w:val="007E72FE"/>
    <w:rsid w:val="008064CE"/>
    <w:rsid w:val="008073E8"/>
    <w:rsid w:val="00814A46"/>
    <w:rsid w:val="00816099"/>
    <w:rsid w:val="00821C0E"/>
    <w:rsid w:val="00822048"/>
    <w:rsid w:val="00822A7A"/>
    <w:rsid w:val="00827794"/>
    <w:rsid w:val="00842CD2"/>
    <w:rsid w:val="008531E5"/>
    <w:rsid w:val="00860B37"/>
    <w:rsid w:val="00865E45"/>
    <w:rsid w:val="00880C7B"/>
    <w:rsid w:val="0089604C"/>
    <w:rsid w:val="008A07C7"/>
    <w:rsid w:val="008B4681"/>
    <w:rsid w:val="008B6322"/>
    <w:rsid w:val="008C2AAD"/>
    <w:rsid w:val="00902E28"/>
    <w:rsid w:val="0090673A"/>
    <w:rsid w:val="009166CE"/>
    <w:rsid w:val="00925EDF"/>
    <w:rsid w:val="00934202"/>
    <w:rsid w:val="00940579"/>
    <w:rsid w:val="009437D6"/>
    <w:rsid w:val="00951604"/>
    <w:rsid w:val="00962DE4"/>
    <w:rsid w:val="00967037"/>
    <w:rsid w:val="009734B5"/>
    <w:rsid w:val="0097574A"/>
    <w:rsid w:val="00977F7E"/>
    <w:rsid w:val="00984817"/>
    <w:rsid w:val="00994066"/>
    <w:rsid w:val="00994CD3"/>
    <w:rsid w:val="009B392F"/>
    <w:rsid w:val="009B69B2"/>
    <w:rsid w:val="009C2A40"/>
    <w:rsid w:val="009C39D4"/>
    <w:rsid w:val="009C42D4"/>
    <w:rsid w:val="009C71BA"/>
    <w:rsid w:val="009C7D00"/>
    <w:rsid w:val="009E1DC9"/>
    <w:rsid w:val="009E5CBB"/>
    <w:rsid w:val="009E673C"/>
    <w:rsid w:val="00A05F9A"/>
    <w:rsid w:val="00A17B5B"/>
    <w:rsid w:val="00A261DA"/>
    <w:rsid w:val="00A32913"/>
    <w:rsid w:val="00A400A9"/>
    <w:rsid w:val="00A40F8D"/>
    <w:rsid w:val="00A76E0B"/>
    <w:rsid w:val="00A8322A"/>
    <w:rsid w:val="00A83C75"/>
    <w:rsid w:val="00A84423"/>
    <w:rsid w:val="00A92CB9"/>
    <w:rsid w:val="00AA0052"/>
    <w:rsid w:val="00AA08B2"/>
    <w:rsid w:val="00AA11EA"/>
    <w:rsid w:val="00AB07A9"/>
    <w:rsid w:val="00AB1CE7"/>
    <w:rsid w:val="00AB26D9"/>
    <w:rsid w:val="00AB3C10"/>
    <w:rsid w:val="00AC21FD"/>
    <w:rsid w:val="00AD2260"/>
    <w:rsid w:val="00AD2606"/>
    <w:rsid w:val="00AD2B47"/>
    <w:rsid w:val="00AD5270"/>
    <w:rsid w:val="00AF643B"/>
    <w:rsid w:val="00AF6F6F"/>
    <w:rsid w:val="00B248BA"/>
    <w:rsid w:val="00B302A4"/>
    <w:rsid w:val="00B40626"/>
    <w:rsid w:val="00B40A0F"/>
    <w:rsid w:val="00B4216D"/>
    <w:rsid w:val="00B42FE9"/>
    <w:rsid w:val="00B54D3C"/>
    <w:rsid w:val="00B55801"/>
    <w:rsid w:val="00B61E74"/>
    <w:rsid w:val="00B67202"/>
    <w:rsid w:val="00B67297"/>
    <w:rsid w:val="00B675B1"/>
    <w:rsid w:val="00B77714"/>
    <w:rsid w:val="00BA28CC"/>
    <w:rsid w:val="00BA7401"/>
    <w:rsid w:val="00BB144C"/>
    <w:rsid w:val="00BB2BCD"/>
    <w:rsid w:val="00BE265A"/>
    <w:rsid w:val="00BF77A7"/>
    <w:rsid w:val="00C17F75"/>
    <w:rsid w:val="00C4616B"/>
    <w:rsid w:val="00C52BC0"/>
    <w:rsid w:val="00C56AC7"/>
    <w:rsid w:val="00C57AFE"/>
    <w:rsid w:val="00C6035F"/>
    <w:rsid w:val="00C61A87"/>
    <w:rsid w:val="00C6377D"/>
    <w:rsid w:val="00C67487"/>
    <w:rsid w:val="00C739C4"/>
    <w:rsid w:val="00C74472"/>
    <w:rsid w:val="00C76784"/>
    <w:rsid w:val="00C776D4"/>
    <w:rsid w:val="00C82DB5"/>
    <w:rsid w:val="00CA65EB"/>
    <w:rsid w:val="00CC179B"/>
    <w:rsid w:val="00CC1FE5"/>
    <w:rsid w:val="00CE599A"/>
    <w:rsid w:val="00CF533A"/>
    <w:rsid w:val="00CF543F"/>
    <w:rsid w:val="00D10E69"/>
    <w:rsid w:val="00D34D37"/>
    <w:rsid w:val="00D406FA"/>
    <w:rsid w:val="00D46CA8"/>
    <w:rsid w:val="00D55C8C"/>
    <w:rsid w:val="00D57100"/>
    <w:rsid w:val="00D61A24"/>
    <w:rsid w:val="00D6533D"/>
    <w:rsid w:val="00D753D4"/>
    <w:rsid w:val="00DA19A5"/>
    <w:rsid w:val="00DD4FF9"/>
    <w:rsid w:val="00DE2FEF"/>
    <w:rsid w:val="00DE72EF"/>
    <w:rsid w:val="00DF1FC3"/>
    <w:rsid w:val="00DF4985"/>
    <w:rsid w:val="00DF7193"/>
    <w:rsid w:val="00E02EA4"/>
    <w:rsid w:val="00E061A2"/>
    <w:rsid w:val="00E263A1"/>
    <w:rsid w:val="00E35812"/>
    <w:rsid w:val="00E444B6"/>
    <w:rsid w:val="00E57EE2"/>
    <w:rsid w:val="00E60E34"/>
    <w:rsid w:val="00E738FA"/>
    <w:rsid w:val="00E871D7"/>
    <w:rsid w:val="00E96290"/>
    <w:rsid w:val="00EA715D"/>
    <w:rsid w:val="00EA7F2C"/>
    <w:rsid w:val="00EB76D7"/>
    <w:rsid w:val="00EC0419"/>
    <w:rsid w:val="00EC2D45"/>
    <w:rsid w:val="00ED51EE"/>
    <w:rsid w:val="00EF09BF"/>
    <w:rsid w:val="00F0582E"/>
    <w:rsid w:val="00F07CB2"/>
    <w:rsid w:val="00F1571E"/>
    <w:rsid w:val="00F21781"/>
    <w:rsid w:val="00F406F0"/>
    <w:rsid w:val="00F54AFF"/>
    <w:rsid w:val="00F54B4F"/>
    <w:rsid w:val="00F55548"/>
    <w:rsid w:val="00F62550"/>
    <w:rsid w:val="00F81D37"/>
    <w:rsid w:val="00F9062F"/>
    <w:rsid w:val="00F96F14"/>
    <w:rsid w:val="00FA0DA3"/>
    <w:rsid w:val="00FA3DE7"/>
    <w:rsid w:val="00FB7E07"/>
    <w:rsid w:val="00FE6A8D"/>
    <w:rsid w:val="00FF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customStyle="1" w:styleId="Heading6Char">
    <w:name w:val="Heading 6 Char"/>
    <w:basedOn w:val="DefaultParagraphFont"/>
    <w:link w:val="Heading6"/>
    <w:uiPriority w:val="9"/>
    <w:semiHidden/>
    <w:rsid w:val="00652CFE"/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NormalWeb">
    <w:name w:val="Normal (Web)"/>
    <w:basedOn w:val="Normal"/>
    <w:uiPriority w:val="99"/>
    <w:unhideWhenUsed/>
    <w:rsid w:val="0073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Emphasis">
    <w:name w:val="Emphasis"/>
    <w:basedOn w:val="DefaultParagraphFont"/>
    <w:uiPriority w:val="20"/>
    <w:qFormat/>
    <w:rsid w:val="0015666E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586EF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4F0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C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4B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65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E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E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9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3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6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6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E6B7692-F322-4D1F-91B2-625B96664794}">
  <we:reference id="wa104382081" version="1.55.1.0" store="en-US" storeType="OMEX"/>
  <we:alternateReferences>
    <we:reference id="WA104382081" version="1.55.1.0" store="" storeType="OMEX"/>
  </we:alternateReferences>
  <we:properties>
    <we:property name="MENDELEY_BIBLIOGRAPHY_IS_DIRTY" value="true"/>
    <we:property name="MENDELEY_BIBLIOGRAPHY_LAST_MODIFIED" value="1776402650642"/>
    <we:property name="MENDELEY_CITATIONS" value="[]"/>
    <we:property name="MENDELEY_CITATIONS_LOCALE_CODE" value="&quot;en-US&quot;"/>
    <we:property name="MENDELEY_CITATIONS_STYLE" value="{&quot;id&quot;:&quot;https://www.zotero.org/styles/american-medical-association&quot;,&quot;title&quot;:&quot;AMA Manual of Style 11th edition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Janitha Hansinee Iddagoda Iddagodage Dona</cp:lastModifiedBy>
  <cp:revision>18</cp:revision>
  <dcterms:created xsi:type="dcterms:W3CDTF">2026-04-22T02:59:00Z</dcterms:created>
  <dcterms:modified xsi:type="dcterms:W3CDTF">2026-04-28T02:01:00Z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GrammarlyDocumentId">
    <vt:lpwstr>be634ea0-d041-43e1-a717-e4c9e42ed5fb</vt:lpwstr>
  </property>
</Properties>
</file>