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Pr="00B131D3" w:rsidRDefault="00D753D4" w:rsidP="00BF77A7">
      <w:pPr>
        <w:pStyle w:val="DocHead"/>
        <w:spacing w:before="0" w:after="0"/>
        <w:ind w:left="-119" w:right="-136" w:firstLine="119"/>
        <w:rPr>
          <w:noProof/>
          <w:lang w:val="en-SG"/>
        </w:rPr>
      </w:pPr>
      <w:r w:rsidRPr="00B131D3">
        <w:rPr>
          <w:noProof/>
          <w:lang w:val="en-SG"/>
        </w:rPr>
        <w:t>SIFF</w:t>
      </w:r>
      <w:r w:rsidR="00BF77A7" w:rsidRPr="00B131D3">
        <w:rPr>
          <w:noProof/>
          <w:lang w:val="en-SG"/>
        </w:rPr>
        <w:t xml:space="preserve"> 2026</w:t>
      </w:r>
    </w:p>
    <w:p w14:paraId="2641CBEB" w14:textId="0714D6BB" w:rsidR="00431340" w:rsidRPr="00B131D3" w:rsidRDefault="004D1125" w:rsidP="00BF77A7">
      <w:pPr>
        <w:pStyle w:val="DocHead"/>
        <w:spacing w:before="0" w:after="0"/>
        <w:ind w:left="-119" w:right="-136" w:firstLine="119"/>
        <w:rPr>
          <w:noProof/>
          <w:lang w:val="en-SG"/>
        </w:rPr>
      </w:pPr>
      <w:r w:rsidRPr="00B131D3">
        <w:rPr>
          <w:noProof/>
          <w:lang w:val="en-SG"/>
        </w:rPr>
        <w:t>Singapore International Food Forum 2026</w:t>
      </w:r>
      <w:r w:rsidR="00C17F75" w:rsidRPr="00B131D3">
        <w:rPr>
          <w:noProof/>
          <w:lang w:val="en-SG"/>
        </w:rPr>
        <w:br/>
      </w:r>
    </w:p>
    <w:p w14:paraId="7DD68038" w14:textId="77777777" w:rsidR="00B131D3" w:rsidRPr="00B131D3" w:rsidRDefault="00B131D3" w:rsidP="00673656">
      <w:pPr>
        <w:pStyle w:val="Els-Author"/>
        <w:ind w:right="2"/>
        <w:rPr>
          <w:sz w:val="32"/>
          <w:szCs w:val="32"/>
          <w:lang w:val="en-SG"/>
        </w:rPr>
      </w:pPr>
      <w:r w:rsidRPr="00B131D3">
        <w:rPr>
          <w:sz w:val="32"/>
          <w:szCs w:val="32"/>
          <w:lang w:val="en-SG"/>
        </w:rPr>
        <w:t xml:space="preserve">Associations of Protein Intake with Parameters of Eye Health and Levels of Advanced Glycation End Products in Singapore Older Adults </w:t>
      </w:r>
    </w:p>
    <w:p w14:paraId="5342D5C1" w14:textId="41A1C856" w:rsidR="00673656" w:rsidRPr="00935A05" w:rsidRDefault="00B131D3" w:rsidP="00935A05">
      <w:pPr>
        <w:pStyle w:val="Els-Author"/>
        <w:ind w:right="2"/>
        <w:rPr>
          <w:sz w:val="24"/>
          <w:szCs w:val="24"/>
          <w:vertAlign w:val="superscript"/>
          <w:lang w:val="en-SG"/>
        </w:rPr>
        <w:sectPr w:rsidR="00673656" w:rsidRPr="00935A05"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B131D3">
        <w:rPr>
          <w:sz w:val="24"/>
          <w:szCs w:val="24"/>
          <w:lang w:val="en-SG"/>
        </w:rPr>
        <w:t>M</w:t>
      </w:r>
      <w:r w:rsidR="004C7508" w:rsidRPr="00B131D3">
        <w:rPr>
          <w:sz w:val="24"/>
          <w:szCs w:val="24"/>
          <w:lang w:val="en-SG"/>
        </w:rPr>
        <w:t xml:space="preserve">. </w:t>
      </w:r>
      <w:r w:rsidRPr="00B131D3">
        <w:rPr>
          <w:sz w:val="24"/>
          <w:szCs w:val="24"/>
          <w:lang w:val="en-SG"/>
        </w:rPr>
        <w:t>Ting</w:t>
      </w:r>
      <w:r w:rsidR="0082240F">
        <w:rPr>
          <w:sz w:val="24"/>
          <w:szCs w:val="24"/>
          <w:vertAlign w:val="superscript"/>
          <w:lang w:val="en-SG"/>
        </w:rPr>
        <w:t>a</w:t>
      </w:r>
      <w:r w:rsidR="00673656" w:rsidRPr="00B131D3">
        <w:rPr>
          <w:sz w:val="24"/>
          <w:szCs w:val="24"/>
          <w:lang w:val="en-SG"/>
        </w:rPr>
        <w:t>,</w:t>
      </w:r>
      <w:r w:rsidR="0082240F">
        <w:rPr>
          <w:sz w:val="24"/>
          <w:szCs w:val="24"/>
          <w:lang w:val="en-SG"/>
        </w:rPr>
        <w:t xml:space="preserve"> </w:t>
      </w:r>
      <w:r w:rsidR="00CF5F94">
        <w:rPr>
          <w:sz w:val="24"/>
          <w:szCs w:val="24"/>
          <w:lang w:val="en-SG"/>
        </w:rPr>
        <w:t>L. Yu</w:t>
      </w:r>
      <w:r w:rsidR="00CF5F94" w:rsidRPr="00CF5F94">
        <w:rPr>
          <w:sz w:val="24"/>
          <w:szCs w:val="24"/>
          <w:vertAlign w:val="superscript"/>
          <w:lang w:val="en-SG"/>
        </w:rPr>
        <w:t>a</w:t>
      </w:r>
      <w:r w:rsidR="00CF5F94">
        <w:rPr>
          <w:sz w:val="24"/>
          <w:szCs w:val="24"/>
          <w:lang w:val="en-SG"/>
        </w:rPr>
        <w:t>,</w:t>
      </w:r>
      <w:r w:rsidR="00673656" w:rsidRPr="00B131D3">
        <w:rPr>
          <w:sz w:val="24"/>
          <w:szCs w:val="24"/>
          <w:lang w:val="en-SG"/>
        </w:rPr>
        <w:t xml:space="preserve"> </w:t>
      </w:r>
      <w:r w:rsidR="00CF5F94">
        <w:rPr>
          <w:sz w:val="24"/>
          <w:szCs w:val="24"/>
          <w:lang w:val="en-SG"/>
        </w:rPr>
        <w:t>S. Li</w:t>
      </w:r>
      <w:r w:rsidR="00935A05">
        <w:rPr>
          <w:sz w:val="24"/>
          <w:szCs w:val="24"/>
          <w:vertAlign w:val="superscript"/>
          <w:lang w:val="en-SG"/>
        </w:rPr>
        <w:t>a</w:t>
      </w:r>
      <w:r w:rsidR="00CF5F94">
        <w:rPr>
          <w:sz w:val="24"/>
          <w:szCs w:val="24"/>
          <w:lang w:val="en-SG"/>
        </w:rPr>
        <w:t>, N. M. Y. Wong</w:t>
      </w:r>
      <w:r w:rsidR="00935A05">
        <w:rPr>
          <w:sz w:val="24"/>
          <w:szCs w:val="24"/>
          <w:vertAlign w:val="superscript"/>
          <w:lang w:val="en-SG"/>
        </w:rPr>
        <w:t>a</w:t>
      </w:r>
      <w:r w:rsidR="00935A05">
        <w:rPr>
          <w:sz w:val="24"/>
          <w:szCs w:val="24"/>
          <w:lang w:val="en-SG"/>
        </w:rPr>
        <w:t>, G. C. T. Chan</w:t>
      </w:r>
      <w:r w:rsidR="00935A05">
        <w:rPr>
          <w:sz w:val="24"/>
          <w:szCs w:val="24"/>
          <w:vertAlign w:val="superscript"/>
          <w:lang w:val="en-SG"/>
        </w:rPr>
        <w:t>b</w:t>
      </w:r>
      <w:r w:rsidR="00935A05">
        <w:rPr>
          <w:sz w:val="24"/>
          <w:szCs w:val="24"/>
          <w:lang w:val="en-SG"/>
        </w:rPr>
        <w:t>,  J. E. Kim</w:t>
      </w:r>
      <w:r w:rsidR="00935A05">
        <w:rPr>
          <w:sz w:val="24"/>
          <w:szCs w:val="24"/>
          <w:vertAlign w:val="superscript"/>
          <w:lang w:val="en-SG"/>
        </w:rPr>
        <w:t>a,c</w:t>
      </w:r>
    </w:p>
    <w:p w14:paraId="652CE03F" w14:textId="04D8B154" w:rsidR="00431340" w:rsidRPr="00B131D3" w:rsidRDefault="004C7508" w:rsidP="00234209">
      <w:pPr>
        <w:pStyle w:val="Els-Affiliation"/>
        <w:rPr>
          <w:iCs/>
          <w:lang w:val="en-SG"/>
        </w:rPr>
      </w:pPr>
      <w:r w:rsidRPr="00B131D3">
        <w:rPr>
          <w:vertAlign w:val="superscript"/>
          <w:lang w:val="en-SG"/>
        </w:rPr>
        <w:t>a</w:t>
      </w:r>
      <w:r w:rsidRPr="00B131D3">
        <w:rPr>
          <w:lang w:val="en-SG"/>
        </w:rPr>
        <w:t xml:space="preserve"> </w:t>
      </w:r>
      <w:r w:rsidR="005B0A31" w:rsidRPr="005B0A31">
        <w:rPr>
          <w:lang w:val="en-SG"/>
        </w:rPr>
        <w:t>Department of Food Science and Technology, National University of Singapore</w:t>
      </w:r>
    </w:p>
    <w:p w14:paraId="7E994987" w14:textId="735B8171" w:rsidR="00F446B1" w:rsidRPr="00F446B1" w:rsidRDefault="00234209" w:rsidP="00F446B1">
      <w:pPr>
        <w:pStyle w:val="Els-Affiliation"/>
        <w:rPr>
          <w:vertAlign w:val="superscript"/>
          <w:lang w:val="en-SG"/>
        </w:rPr>
      </w:pPr>
      <w:r w:rsidRPr="00B131D3">
        <w:rPr>
          <w:vertAlign w:val="superscript"/>
          <w:lang w:val="en-SG"/>
        </w:rPr>
        <w:t>b</w:t>
      </w:r>
      <w:r w:rsidRPr="00B131D3">
        <w:rPr>
          <w:lang w:val="en-SG"/>
        </w:rPr>
        <w:t xml:space="preserve"> </w:t>
      </w:r>
      <w:r w:rsidR="00F6362C" w:rsidRPr="00F6362C">
        <w:rPr>
          <w:lang w:val="en-SG"/>
        </w:rPr>
        <w:t>University Health Centre, National University of Singapore</w:t>
      </w:r>
      <w:r w:rsidR="00F446B1">
        <w:rPr>
          <w:lang w:val="en-SG"/>
        </w:rPr>
        <w:t xml:space="preserve"> </w:t>
      </w:r>
      <w:r w:rsidR="00F446B1" w:rsidRPr="00B131D3">
        <w:rPr>
          <w:vertAlign w:val="superscript"/>
          <w:lang w:val="en-SG"/>
        </w:rPr>
        <w:t>a</w:t>
      </w:r>
      <w:r w:rsidR="00F446B1" w:rsidRPr="00B131D3">
        <w:rPr>
          <w:lang w:val="en-SG"/>
        </w:rPr>
        <w:t xml:space="preserve"> </w:t>
      </w:r>
    </w:p>
    <w:p w14:paraId="7B04D3DB" w14:textId="6EC5F8C4" w:rsidR="00F6362C" w:rsidRPr="00F6362C" w:rsidRDefault="00F446B1" w:rsidP="00F446B1">
      <w:pPr>
        <w:pStyle w:val="Els-Affiliation"/>
        <w:spacing w:after="400"/>
        <w:rPr>
          <w:lang w:val="en-SG"/>
        </w:rPr>
      </w:pPr>
      <w:r>
        <w:rPr>
          <w:vertAlign w:val="superscript"/>
          <w:lang w:val="en-SG"/>
        </w:rPr>
        <w:t>c</w:t>
      </w:r>
      <w:r>
        <w:rPr>
          <w:lang w:val="en-SG"/>
        </w:rPr>
        <w:t>Bezos Center for Sustainable Protein,  National University of Singapore</w:t>
      </w:r>
    </w:p>
    <w:p w14:paraId="7715227C" w14:textId="77777777" w:rsidR="00431340" w:rsidRPr="00B131D3" w:rsidRDefault="00431340" w:rsidP="00F6362C">
      <w:pPr>
        <w:pStyle w:val="Els-Abstract-head"/>
        <w:pBdr>
          <w:top w:val="single" w:sz="4" w:space="0" w:color="auto"/>
        </w:pBdr>
        <w:spacing w:before="120" w:after="0" w:line="240" w:lineRule="auto"/>
        <w:rPr>
          <w:noProof/>
          <w:sz w:val="20"/>
          <w:lang w:val="en-SG"/>
        </w:rPr>
      </w:pPr>
      <w:r w:rsidRPr="00B131D3">
        <w:rPr>
          <w:noProof/>
          <w:sz w:val="20"/>
          <w:lang w:val="en-SG"/>
        </w:rPr>
        <w:t>Abstract</w:t>
      </w:r>
    </w:p>
    <w:p w14:paraId="383E14C3" w14:textId="4F5ECDF7" w:rsidR="00C5704F" w:rsidRPr="00C5704F" w:rsidRDefault="00FA63A5" w:rsidP="00C5704F">
      <w:pPr>
        <w:pStyle w:val="Els-Abstract-head"/>
        <w:pBdr>
          <w:top w:val="single" w:sz="4" w:space="0" w:color="auto"/>
        </w:pBdr>
        <w:spacing w:before="120" w:line="240" w:lineRule="auto"/>
        <w:jc w:val="both"/>
        <w:rPr>
          <w:b w:val="0"/>
          <w:noProof/>
          <w:sz w:val="20"/>
          <w:lang w:val="en-SG"/>
        </w:rPr>
      </w:pPr>
      <w:r w:rsidRPr="00FA63A5">
        <w:rPr>
          <w:b w:val="0"/>
          <w:noProof/>
          <w:sz w:val="20"/>
          <w:lang w:val="en-SG"/>
        </w:rPr>
        <w:t>Advanced glycation end products (AGEs) are known as a risk factor for impaired eye health and age-related macular degeneration development</w:t>
      </w:r>
      <w:r w:rsidR="0066403D">
        <w:rPr>
          <w:b w:val="0"/>
          <w:noProof/>
          <w:sz w:val="20"/>
          <w:lang w:val="en-SG"/>
        </w:rPr>
        <w:t xml:space="preserve"> [1]</w:t>
      </w:r>
      <w:r w:rsidRPr="00FA63A5">
        <w:rPr>
          <w:b w:val="0"/>
          <w:noProof/>
          <w:sz w:val="20"/>
          <w:lang w:val="en-SG"/>
        </w:rPr>
        <w:t xml:space="preserve">. Older adults are generally recommended to consume higher protein diets. However, higher protein diets are associated with increased AGE levels due to higher blood amino acids available </w:t>
      </w:r>
      <w:r w:rsidR="0066403D" w:rsidRPr="0066403D">
        <w:rPr>
          <w:b w:val="0"/>
          <w:noProof/>
          <w:sz w:val="20"/>
          <w:lang w:val="en-SG"/>
        </w:rPr>
        <w:t xml:space="preserve"> </w:t>
      </w:r>
      <w:r w:rsidRPr="00FA63A5">
        <w:rPr>
          <w:b w:val="0"/>
          <w:noProof/>
          <w:sz w:val="20"/>
          <w:lang w:val="en-SG"/>
        </w:rPr>
        <w:t>for AGE formation</w:t>
      </w:r>
      <w:r w:rsidR="00DB7613">
        <w:rPr>
          <w:b w:val="0"/>
          <w:noProof/>
          <w:sz w:val="20"/>
          <w:lang w:val="en-SG"/>
        </w:rPr>
        <w:t xml:space="preserve"> [2]</w:t>
      </w:r>
      <w:r w:rsidRPr="00FA63A5">
        <w:rPr>
          <w:b w:val="0"/>
          <w:noProof/>
          <w:sz w:val="20"/>
          <w:lang w:val="en-SG"/>
        </w:rPr>
        <w:t>. This study thus aimed to elucidate associations of protein intake with eye health parameters and AGE levels in Singapore older adults.</w:t>
      </w:r>
      <w:r w:rsidR="009B0580">
        <w:rPr>
          <w:b w:val="0"/>
          <w:noProof/>
          <w:sz w:val="20"/>
          <w:lang w:val="en-SG"/>
        </w:rPr>
        <w:t xml:space="preserve"> </w:t>
      </w:r>
      <w:r w:rsidR="009B0580" w:rsidRPr="009B0580">
        <w:rPr>
          <w:b w:val="0"/>
          <w:noProof/>
          <w:sz w:val="20"/>
          <w:lang w:val="en-SG"/>
        </w:rPr>
        <w:t>This cross-sectional study involved 99 older adults (≥60 years old) and dietary assessments were done to estimate dietary protein intake and dietary AGE (dAGE) levels. Eye health parameters included macular pigment optical density, visual acuity, contrast sensitivity and 25-item visual function questionnaire. Skin AGE status was assessed using a skin autofluorescence AGE reader. Circulating AGE levels, including Nε-(1-carboxymethyl)-L-lysine (CML) and pentosidine (Pen) were quantified using liquid chromatography tandem triple-quadrupole mass spectrometer from blood plasma. Multivariable linear models were used to evaluate associations across total, animal- and plant-based protein intake quintiles, against AGE levels and eye health parameters. False discovery rate (FDR) using Benjamini-Hochberg correction was done for multiple testing.</w:t>
      </w:r>
      <w:r w:rsidR="00EE0E97">
        <w:rPr>
          <w:b w:val="0"/>
          <w:noProof/>
          <w:sz w:val="20"/>
          <w:lang w:val="en-SG"/>
        </w:rPr>
        <w:t xml:space="preserve"> </w:t>
      </w:r>
      <w:r w:rsidR="00EE0E97" w:rsidRPr="00EE0E97">
        <w:rPr>
          <w:b w:val="0"/>
          <w:noProof/>
          <w:sz w:val="20"/>
          <w:lang w:val="en-SG"/>
        </w:rPr>
        <w:t>Overall, no associations between total, animal-based and plant-based protein intakes with eye health parameters were detected. Generally, no associations were observed for overall protein intakes with skin, circulating and dietary AGEs. However, plant-based protein intake showed significant negative correlations with circulating CML (β = −4.79, P = 0.00) and Pen (β = −4.09, P = 0.00) levels; both also remained significant after FDR correction (q = 0.01). There were also no associations between eye health parameters and various AGE levels.</w:t>
      </w:r>
      <w:r w:rsidR="007C3359">
        <w:rPr>
          <w:b w:val="0"/>
          <w:noProof/>
          <w:sz w:val="20"/>
          <w:lang w:val="en-SG"/>
        </w:rPr>
        <w:t xml:space="preserve"> </w:t>
      </w:r>
      <w:r w:rsidR="007C3359" w:rsidRPr="007C3359">
        <w:rPr>
          <w:b w:val="0"/>
          <w:noProof/>
          <w:sz w:val="20"/>
          <w:lang w:val="en-SG"/>
        </w:rPr>
        <w:t>Although protein intake, particularly plant-based protein, was associated with circulating AGE levels, these associations did not translate to measurable benefits in eye health parameters.</w:t>
      </w:r>
    </w:p>
    <w:p w14:paraId="0E2F5DDA" w14:textId="4B654E35" w:rsidR="007B32AB" w:rsidRPr="007B32AB" w:rsidRDefault="007B32AB" w:rsidP="007B32AB">
      <w:pPr>
        <w:spacing w:after="0"/>
        <w:rPr>
          <w:rFonts w:ascii="Times New Roman" w:hAnsi="Times New Roman" w:cs="Times New Roman"/>
          <w:sz w:val="20"/>
          <w:szCs w:val="20"/>
        </w:rPr>
      </w:pPr>
      <w:r w:rsidRPr="007B32AB">
        <w:rPr>
          <w:rFonts w:ascii="Times New Roman" w:hAnsi="Times New Roman" w:cs="Times New Roman"/>
          <w:sz w:val="20"/>
          <w:szCs w:val="20"/>
        </w:rPr>
        <w:t>Funding:</w:t>
      </w:r>
    </w:p>
    <w:p w14:paraId="7687299F" w14:textId="766E6FB0" w:rsidR="007679DD" w:rsidRPr="00B131D3" w:rsidRDefault="007B32AB" w:rsidP="007679DD">
      <w:pPr>
        <w:rPr>
          <w:rFonts w:ascii="Times New Roman" w:hAnsi="Times New Roman" w:cs="Times New Roman"/>
          <w:sz w:val="20"/>
          <w:szCs w:val="20"/>
        </w:rPr>
      </w:pPr>
      <w:r w:rsidRPr="007B32AB">
        <w:rPr>
          <w:rFonts w:ascii="Times New Roman" w:hAnsi="Times New Roman" w:cs="Times New Roman"/>
          <w:sz w:val="20"/>
          <w:szCs w:val="20"/>
        </w:rPr>
        <w:t>NUS Bezos Centre for Sustainable Protein - Bezos Earth Fund</w:t>
      </w:r>
    </w:p>
    <w:p w14:paraId="0AE07FD0" w14:textId="77777777" w:rsidR="002A0A1C" w:rsidRPr="00B131D3" w:rsidRDefault="002A0A1C" w:rsidP="00665C88">
      <w:pPr>
        <w:pStyle w:val="Els-keywords"/>
        <w:spacing w:after="120" w:line="240" w:lineRule="auto"/>
        <w:rPr>
          <w:b/>
          <w:sz w:val="20"/>
          <w:lang w:val="en-SG"/>
        </w:rPr>
      </w:pPr>
      <w:r w:rsidRPr="00B131D3">
        <w:rPr>
          <w:b/>
          <w:sz w:val="20"/>
          <w:lang w:val="en-SG"/>
        </w:rPr>
        <w:t>References</w:t>
      </w:r>
    </w:p>
    <w:p w14:paraId="6911FF96" w14:textId="5C3841AB" w:rsidR="00665C88" w:rsidRPr="00B131D3" w:rsidRDefault="002A0A1C" w:rsidP="00665C88">
      <w:pPr>
        <w:pStyle w:val="Els-keywords"/>
        <w:spacing w:after="120" w:line="240" w:lineRule="auto"/>
        <w:rPr>
          <w:sz w:val="20"/>
          <w:lang w:val="en-SG"/>
        </w:rPr>
      </w:pPr>
      <w:r w:rsidRPr="00B131D3">
        <w:rPr>
          <w:sz w:val="20"/>
          <w:lang w:val="en-SG"/>
        </w:rPr>
        <w:t xml:space="preserve">[1] </w:t>
      </w:r>
      <w:r w:rsidR="0066403D" w:rsidRPr="0066403D">
        <w:rPr>
          <w:sz w:val="20"/>
          <w:lang w:val="en-SG"/>
        </w:rPr>
        <w:t xml:space="preserve">Glenn, J. V., &amp; Stitt, A. W. (2009). The role of advanced glycation end products in retinal ageing and disease. </w:t>
      </w:r>
      <w:r w:rsidR="0066403D" w:rsidRPr="00C4734F">
        <w:rPr>
          <w:i/>
          <w:iCs/>
          <w:sz w:val="20"/>
          <w:lang w:val="en-SG"/>
        </w:rPr>
        <w:t>Biochimica et Biophysica Acta (BBA)-General Subjects</w:t>
      </w:r>
      <w:r w:rsidR="0066403D" w:rsidRPr="0066403D">
        <w:rPr>
          <w:sz w:val="20"/>
          <w:lang w:val="en-SG"/>
        </w:rPr>
        <w:t xml:space="preserve">, </w:t>
      </w:r>
      <w:r w:rsidR="0066403D" w:rsidRPr="00C4734F">
        <w:rPr>
          <w:i/>
          <w:iCs/>
          <w:sz w:val="20"/>
          <w:lang w:val="en-SG"/>
        </w:rPr>
        <w:t>1790</w:t>
      </w:r>
      <w:r w:rsidR="0066403D" w:rsidRPr="0066403D">
        <w:rPr>
          <w:sz w:val="20"/>
          <w:lang w:val="en-SG"/>
        </w:rPr>
        <w:t>(10), 1109-1116.</w:t>
      </w:r>
    </w:p>
    <w:p w14:paraId="7BC67066" w14:textId="0E8C1BE1" w:rsidR="003B0ABD" w:rsidRPr="002537DA" w:rsidRDefault="00DB7613" w:rsidP="0078067E">
      <w:pPr>
        <w:pStyle w:val="Els-keywords"/>
        <w:spacing w:after="120" w:line="240" w:lineRule="auto"/>
        <w:rPr>
          <w:sz w:val="20"/>
        </w:rPr>
      </w:pPr>
      <w:r>
        <w:rPr>
          <w:sz w:val="20"/>
        </w:rPr>
        <w:t xml:space="preserve">[2] </w:t>
      </w:r>
      <w:r w:rsidRPr="00DB7613">
        <w:rPr>
          <w:sz w:val="20"/>
          <w:lang w:val="en-SG"/>
        </w:rPr>
        <w:t>Uribarri, J., &amp; Tuttle, K. R. (2006). Advanced glycation end products and nephrotoxicity of high-protein diets. </w:t>
      </w:r>
      <w:r w:rsidRPr="00DB7613">
        <w:rPr>
          <w:i/>
          <w:iCs/>
          <w:sz w:val="20"/>
          <w:lang w:val="en-SG"/>
        </w:rPr>
        <w:t>Clinical Journal of the American Society of Nephrology</w:t>
      </w:r>
      <w:r w:rsidRPr="00DB7613">
        <w:rPr>
          <w:sz w:val="20"/>
          <w:lang w:val="en-SG"/>
        </w:rPr>
        <w:t>, </w:t>
      </w:r>
      <w:r w:rsidRPr="00DB7613">
        <w:rPr>
          <w:i/>
          <w:iCs/>
          <w:sz w:val="20"/>
          <w:lang w:val="en-SG"/>
        </w:rPr>
        <w:t>1</w:t>
      </w:r>
      <w:r w:rsidRPr="00DB7613">
        <w:rPr>
          <w:sz w:val="20"/>
          <w:lang w:val="en-SG"/>
        </w:rPr>
        <w:t>(6), 1293-1299.</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44B9" w14:textId="77777777" w:rsidR="000A00E4" w:rsidRPr="00B131D3" w:rsidRDefault="000A00E4" w:rsidP="00431340">
      <w:pPr>
        <w:spacing w:after="0" w:line="240" w:lineRule="auto"/>
      </w:pPr>
      <w:r w:rsidRPr="00B131D3">
        <w:separator/>
      </w:r>
    </w:p>
  </w:endnote>
  <w:endnote w:type="continuationSeparator" w:id="0">
    <w:p w14:paraId="1324585E" w14:textId="77777777" w:rsidR="000A00E4" w:rsidRPr="00B131D3" w:rsidRDefault="000A00E4" w:rsidP="00431340">
      <w:pPr>
        <w:spacing w:after="0" w:line="240" w:lineRule="auto"/>
      </w:pPr>
      <w:r w:rsidRPr="00B13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Pr="00B131D3"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Pr="00B131D3"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Pr="00B131D3"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8521E" w14:textId="77777777" w:rsidR="000A00E4" w:rsidRPr="00B131D3" w:rsidRDefault="000A00E4" w:rsidP="00431340">
      <w:pPr>
        <w:spacing w:after="0" w:line="240" w:lineRule="auto"/>
      </w:pPr>
      <w:r w:rsidRPr="00B131D3">
        <w:separator/>
      </w:r>
    </w:p>
  </w:footnote>
  <w:footnote w:type="continuationSeparator" w:id="0">
    <w:p w14:paraId="1B0B591E" w14:textId="77777777" w:rsidR="000A00E4" w:rsidRPr="00B131D3" w:rsidRDefault="000A00E4" w:rsidP="00431340">
      <w:pPr>
        <w:spacing w:after="0" w:line="240" w:lineRule="auto"/>
      </w:pPr>
      <w:r w:rsidRPr="00B13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Pr="00B131D3"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Pr="00B131D3"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Pr="00B131D3"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A00E4"/>
    <w:rsid w:val="001C51B3"/>
    <w:rsid w:val="00234209"/>
    <w:rsid w:val="002537DA"/>
    <w:rsid w:val="002A0A1C"/>
    <w:rsid w:val="002A2B3C"/>
    <w:rsid w:val="00372579"/>
    <w:rsid w:val="003B0ABD"/>
    <w:rsid w:val="00431340"/>
    <w:rsid w:val="00477362"/>
    <w:rsid w:val="004B7E87"/>
    <w:rsid w:val="004C7508"/>
    <w:rsid w:val="004D1125"/>
    <w:rsid w:val="00555950"/>
    <w:rsid w:val="00582ABF"/>
    <w:rsid w:val="0059506C"/>
    <w:rsid w:val="005B0A31"/>
    <w:rsid w:val="005B77D8"/>
    <w:rsid w:val="00646E7D"/>
    <w:rsid w:val="00654033"/>
    <w:rsid w:val="0066403D"/>
    <w:rsid w:val="00665C88"/>
    <w:rsid w:val="00673656"/>
    <w:rsid w:val="006D3652"/>
    <w:rsid w:val="0070599D"/>
    <w:rsid w:val="007679DD"/>
    <w:rsid w:val="00772B06"/>
    <w:rsid w:val="007752C7"/>
    <w:rsid w:val="0078067E"/>
    <w:rsid w:val="00781D43"/>
    <w:rsid w:val="007B32AB"/>
    <w:rsid w:val="007C3359"/>
    <w:rsid w:val="0082240F"/>
    <w:rsid w:val="00827794"/>
    <w:rsid w:val="00935A05"/>
    <w:rsid w:val="009B0580"/>
    <w:rsid w:val="009C71BA"/>
    <w:rsid w:val="009C7235"/>
    <w:rsid w:val="00B131D3"/>
    <w:rsid w:val="00BE265A"/>
    <w:rsid w:val="00BF77A7"/>
    <w:rsid w:val="00C17F75"/>
    <w:rsid w:val="00C4616B"/>
    <w:rsid w:val="00C4734F"/>
    <w:rsid w:val="00C5704F"/>
    <w:rsid w:val="00C67487"/>
    <w:rsid w:val="00CB5DD9"/>
    <w:rsid w:val="00CC179B"/>
    <w:rsid w:val="00CF5F94"/>
    <w:rsid w:val="00D10E69"/>
    <w:rsid w:val="00D753D4"/>
    <w:rsid w:val="00DB7613"/>
    <w:rsid w:val="00DD4FF9"/>
    <w:rsid w:val="00EE0E97"/>
    <w:rsid w:val="00F446B1"/>
    <w:rsid w:val="00F55548"/>
    <w:rsid w:val="00F6362C"/>
    <w:rsid w:val="00FA63A5"/>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449</Words>
  <Characters>2561</Characters>
  <Application>Microsoft Office Word</Application>
  <DocSecurity>0</DocSecurity>
  <Lines>21</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Marcus Ting</cp:lastModifiedBy>
  <cp:revision>21</cp:revision>
  <dcterms:created xsi:type="dcterms:W3CDTF">2026-02-04T06:37:00Z</dcterms:created>
  <dcterms:modified xsi:type="dcterms:W3CDTF">2026-04-28T07:39:00Z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