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43AD6D15" w:rsidR="00431340" w:rsidRPr="00C67487" w:rsidRDefault="0098657C" w:rsidP="00C67487">
      <w:pPr>
        <w:pStyle w:val="Els-Title"/>
      </w:pPr>
      <w:r w:rsidRPr="0098657C">
        <w:t>Effects of Dietary Protein Intake and Source on Cardiometabolic Risk Factors via Plasma and Urinary Metabolomics: A Randomized Controlled Trial of Singapore Older Adults.</w:t>
      </w:r>
    </w:p>
    <w:p w14:paraId="5342D5C1" w14:textId="75474AD3" w:rsidR="00673656" w:rsidRPr="00673656" w:rsidRDefault="00CF5E1F" w:rsidP="00431340">
      <w:pPr>
        <w:pStyle w:val="Els-Author"/>
        <w:ind w:right="2"/>
        <w:rPr>
          <w:sz w:val="28"/>
          <w:szCs w:val="28"/>
        </w:rPr>
        <w:sectPr w:rsidR="00673656" w:rsidRPr="00673656" w:rsidSect="00431340">
          <w:footnotePr>
            <w:numFmt w:val="chicago"/>
          </w:footnotePr>
          <w:type w:val="continuous"/>
          <w:pgSz w:w="11906" w:h="16838"/>
          <w:pgMar w:top="1440" w:right="1440" w:bottom="1440" w:left="1440" w:header="708" w:footer="708" w:gutter="0"/>
          <w:cols w:space="708"/>
          <w:docGrid w:linePitch="360"/>
        </w:sectPr>
      </w:pPr>
      <w:r w:rsidRPr="00CF5E1F">
        <w:rPr>
          <w:sz w:val="24"/>
          <w:szCs w:val="24"/>
          <w:lang w:val="nb-NO"/>
        </w:rPr>
        <w:t>Nicole Min Yee Wong</w:t>
      </w:r>
      <w:r w:rsidRPr="00CF5E1F">
        <w:rPr>
          <w:sz w:val="24"/>
          <w:szCs w:val="24"/>
          <w:vertAlign w:val="superscript"/>
          <w:lang w:val="nb-NO"/>
        </w:rPr>
        <w:t>a</w:t>
      </w:r>
      <w:r w:rsidRPr="00CF5E1F">
        <w:rPr>
          <w:sz w:val="24"/>
          <w:szCs w:val="24"/>
          <w:lang w:val="nb-NO"/>
        </w:rPr>
        <w:t>, Ian En-Kai Mak</w:t>
      </w:r>
      <w:r w:rsidR="00EA452A" w:rsidRPr="00EA452A">
        <w:rPr>
          <w:sz w:val="24"/>
          <w:szCs w:val="24"/>
          <w:vertAlign w:val="superscript"/>
          <w:lang w:val="nb-NO"/>
        </w:rPr>
        <w:t>a</w:t>
      </w:r>
      <w:r w:rsidRPr="00CF5E1F">
        <w:rPr>
          <w:sz w:val="24"/>
          <w:szCs w:val="24"/>
          <w:lang w:val="nb-NO"/>
        </w:rPr>
        <w:t>, Yueying Yao</w:t>
      </w:r>
      <w:r w:rsidR="00EA452A" w:rsidRPr="00EA452A">
        <w:rPr>
          <w:sz w:val="24"/>
          <w:szCs w:val="24"/>
          <w:vertAlign w:val="superscript"/>
          <w:lang w:val="nb-NO"/>
        </w:rPr>
        <w:t>a</w:t>
      </w:r>
      <w:r w:rsidRPr="00CF5E1F">
        <w:rPr>
          <w:sz w:val="24"/>
          <w:szCs w:val="24"/>
          <w:lang w:val="nb-NO"/>
        </w:rPr>
        <w:t>, Lingyin Yu</w:t>
      </w:r>
      <w:r w:rsidR="00EA452A" w:rsidRPr="00EA452A">
        <w:rPr>
          <w:sz w:val="24"/>
          <w:szCs w:val="24"/>
          <w:vertAlign w:val="superscript"/>
          <w:lang w:val="nb-NO"/>
        </w:rPr>
        <w:t>a</w:t>
      </w:r>
      <w:r w:rsidRPr="00CF5E1F">
        <w:rPr>
          <w:sz w:val="24"/>
          <w:szCs w:val="24"/>
          <w:lang w:val="nb-NO"/>
        </w:rPr>
        <w:t xml:space="preserve">, </w:t>
      </w:r>
      <w:r w:rsidR="009801A3">
        <w:rPr>
          <w:sz w:val="24"/>
          <w:szCs w:val="24"/>
          <w:lang w:val="nb-NO"/>
        </w:rPr>
        <w:t>Yuyun Lu</w:t>
      </w:r>
      <w:r w:rsidR="009801A3">
        <w:rPr>
          <w:sz w:val="24"/>
          <w:szCs w:val="24"/>
          <w:vertAlign w:val="superscript"/>
          <w:lang w:val="nb-NO"/>
        </w:rPr>
        <w:t>a</w:t>
      </w:r>
      <w:r w:rsidR="009801A3">
        <w:rPr>
          <w:sz w:val="24"/>
          <w:szCs w:val="24"/>
          <w:lang w:val="nb-NO"/>
        </w:rPr>
        <w:t xml:space="preserve">, </w:t>
      </w:r>
      <w:r w:rsidRPr="00CF5E1F">
        <w:rPr>
          <w:sz w:val="24"/>
          <w:szCs w:val="24"/>
          <w:lang w:val="nb-NO"/>
        </w:rPr>
        <w:t>Chin Meng Khoo</w:t>
      </w:r>
      <w:r w:rsidR="0008054E" w:rsidRPr="0008054E">
        <w:rPr>
          <w:sz w:val="24"/>
          <w:szCs w:val="24"/>
          <w:vertAlign w:val="superscript"/>
          <w:lang w:val="nb-NO"/>
        </w:rPr>
        <w:t>b</w:t>
      </w:r>
      <w:r w:rsidRPr="00CF5E1F">
        <w:rPr>
          <w:sz w:val="24"/>
          <w:szCs w:val="24"/>
          <w:lang w:val="nb-NO"/>
        </w:rPr>
        <w:t>, Jung Eun Kim</w:t>
      </w:r>
      <w:r w:rsidR="0008054E">
        <w:rPr>
          <w:sz w:val="24"/>
          <w:szCs w:val="24"/>
          <w:vertAlign w:val="superscript"/>
          <w:lang w:val="nb-NO"/>
        </w:rPr>
        <w:t>a</w:t>
      </w:r>
      <w:r w:rsidRPr="00EA452A">
        <w:rPr>
          <w:sz w:val="24"/>
          <w:szCs w:val="24"/>
          <w:vertAlign w:val="superscript"/>
          <w:lang w:val="nb-NO"/>
        </w:rPr>
        <w:t>,</w:t>
      </w:r>
      <w:r w:rsidR="0008054E">
        <w:rPr>
          <w:sz w:val="24"/>
          <w:szCs w:val="24"/>
          <w:vertAlign w:val="superscript"/>
          <w:lang w:val="nb-NO"/>
        </w:rPr>
        <w:t>c</w:t>
      </w:r>
      <w:r w:rsidRPr="00CF5E1F">
        <w:rPr>
          <w:sz w:val="24"/>
          <w:szCs w:val="24"/>
          <w:lang w:val="nb-NO"/>
        </w:rPr>
        <w:t>*</w:t>
      </w:r>
    </w:p>
    <w:p w14:paraId="30147395" w14:textId="0DD60391" w:rsidR="005C0194" w:rsidRDefault="004C7508" w:rsidP="005C0194">
      <w:pPr>
        <w:pStyle w:val="Els-Affiliation"/>
        <w:rPr>
          <w:lang w:val="nb-NO"/>
        </w:rPr>
      </w:pPr>
      <w:r>
        <w:rPr>
          <w:vertAlign w:val="superscript"/>
          <w:lang w:val="nb-NO"/>
        </w:rPr>
        <w:t>a</w:t>
      </w:r>
      <w:r w:rsidRPr="00234209">
        <w:rPr>
          <w:lang w:val="nb-NO"/>
        </w:rPr>
        <w:t xml:space="preserve"> </w:t>
      </w:r>
      <w:r w:rsidR="005C0194" w:rsidRPr="005C0194">
        <w:rPr>
          <w:lang w:val="nb-NO"/>
        </w:rPr>
        <w:t>Department of Food Science and Technology, National University of Singapore</w:t>
      </w:r>
      <w:r w:rsidR="005C0194">
        <w:rPr>
          <w:lang w:val="nb-NO"/>
        </w:rPr>
        <w:t>, Singapore</w:t>
      </w:r>
    </w:p>
    <w:p w14:paraId="05A3C6FA" w14:textId="74D10637" w:rsidR="00431340" w:rsidRPr="002A4C98" w:rsidRDefault="00234209" w:rsidP="005C0194">
      <w:pPr>
        <w:pStyle w:val="Els-Affiliation"/>
        <w:rPr>
          <w:lang w:eastAsia="zh-CN"/>
        </w:rPr>
      </w:pPr>
      <w:r w:rsidRPr="00234209">
        <w:rPr>
          <w:vertAlign w:val="superscript"/>
          <w:lang w:val="nb-NO"/>
        </w:rPr>
        <w:t>b</w:t>
      </w:r>
      <w:r w:rsidRPr="00234209">
        <w:rPr>
          <w:lang w:val="nb-NO"/>
        </w:rPr>
        <w:t xml:space="preserve"> </w:t>
      </w:r>
      <w:r w:rsidR="002A4C98" w:rsidRPr="002A4C98">
        <w:rPr>
          <w:lang w:val="nb-NO"/>
        </w:rPr>
        <w:t>Division of Endocrinology, Department of Medicine, National University Hospital, Singapore</w:t>
      </w:r>
      <w:r w:rsidR="002A4C98">
        <w:rPr>
          <w:lang w:val="nb-NO"/>
        </w:rPr>
        <w:br/>
      </w:r>
      <w:r w:rsidR="002A4C98">
        <w:rPr>
          <w:vertAlign w:val="superscript"/>
          <w:lang w:val="nb-NO"/>
        </w:rPr>
        <w:t>c</w:t>
      </w:r>
      <w:r w:rsidR="00DA359A">
        <w:rPr>
          <w:vertAlign w:val="superscript"/>
          <w:lang w:val="nb-NO"/>
        </w:rPr>
        <w:t xml:space="preserve"> </w:t>
      </w:r>
      <w:r w:rsidR="00DA359A" w:rsidRPr="00DA359A">
        <w:rPr>
          <w:lang w:val="nb-NO"/>
        </w:rPr>
        <w:t>Bezos Centre for Sustainable Protein, National University of Singapore, Singapore</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399A0D8B" w14:textId="6D368059" w:rsidR="002D6156" w:rsidRPr="002D6156" w:rsidRDefault="002D6156" w:rsidP="00CE3C75">
      <w:pPr>
        <w:pStyle w:val="Els-Abstract-head"/>
        <w:spacing w:after="0" w:line="240" w:lineRule="auto"/>
        <w:jc w:val="both"/>
        <w:rPr>
          <w:b w:val="0"/>
          <w:sz w:val="20"/>
          <w:u w:val="single"/>
        </w:rPr>
      </w:pPr>
      <w:r w:rsidRPr="002D6156">
        <w:rPr>
          <w:b w:val="0"/>
          <w:sz w:val="20"/>
          <w:u w:val="single"/>
        </w:rPr>
        <w:t>Objectives</w:t>
      </w:r>
    </w:p>
    <w:p w14:paraId="59AF7CE7" w14:textId="0367A10C" w:rsidR="002D6156" w:rsidRDefault="00944D7B" w:rsidP="00CE3C75">
      <w:pPr>
        <w:pStyle w:val="Els-Abstract-head"/>
        <w:spacing w:after="0" w:line="240" w:lineRule="auto"/>
        <w:jc w:val="both"/>
        <w:rPr>
          <w:b w:val="0"/>
          <w:sz w:val="20"/>
        </w:rPr>
      </w:pPr>
      <w:r w:rsidRPr="00944D7B">
        <w:rPr>
          <w:b w:val="0"/>
          <w:sz w:val="20"/>
        </w:rPr>
        <w:t>Metabolic mechanisms linking dietary protein intake to cardiometabolic health remain unclear, especially in Asian populations. Using metabolomics to investigate these underlying biochemical pathways, this randomized controlled trial (RCT) aimed to identify plasma or urine metabolites differentiating protein quantity and source, and examine their mediation of cardiometabolic risk factors (CRFs) in Singapore older adults.</w:t>
      </w:r>
    </w:p>
    <w:p w14:paraId="51A91EA8" w14:textId="77777777" w:rsidR="002D6156" w:rsidRPr="002D6156" w:rsidRDefault="002D6156" w:rsidP="00CE3C75">
      <w:pPr>
        <w:pStyle w:val="Els-Abstract-head"/>
        <w:spacing w:after="0" w:line="240" w:lineRule="auto"/>
        <w:jc w:val="both"/>
        <w:rPr>
          <w:b w:val="0"/>
          <w:sz w:val="20"/>
          <w:u w:val="single"/>
        </w:rPr>
      </w:pPr>
      <w:r w:rsidRPr="002D6156">
        <w:rPr>
          <w:b w:val="0"/>
          <w:sz w:val="20"/>
          <w:u w:val="single"/>
        </w:rPr>
        <w:t>Methods</w:t>
      </w:r>
    </w:p>
    <w:p w14:paraId="3A80F892" w14:textId="60E1CE02" w:rsidR="00235804" w:rsidRDefault="007D5F0F" w:rsidP="00CE3C75">
      <w:pPr>
        <w:pStyle w:val="Els-Abstract-head"/>
        <w:spacing w:after="0" w:line="240" w:lineRule="auto"/>
        <w:jc w:val="both"/>
        <w:rPr>
          <w:b w:val="0"/>
          <w:sz w:val="20"/>
        </w:rPr>
      </w:pPr>
      <w:r w:rsidRPr="007D5F0F">
        <w:rPr>
          <w:b w:val="0"/>
          <w:sz w:val="20"/>
        </w:rPr>
        <w:t>In a 16-week, double-blinded parallel RCT, 49 older adults were randomized to Control (n=18), Casein (n=14), or Soy (n=17) groups. All participants consumed a healthy dietary pattern, with Casein/Soy receiving an extra 20 g/day of casein/soy protein powder. Response of protein intake and CRFs, including anthropometry, blood pressure, and glucose and lipid-lipoprotein panels, were assessed at baseline (W0) and Week 16 (W16) with two-way repeated measures ANOVA and Bonferroni correction. Plasma and urine metabolomics (W0, W16) were conducted via UPLC-QTOF-MS/MS, and data were analyzed with ANOVA-simultaneous component analysis (ASCA) and linear mixed models (LMM). Metabolites were annotated and pathway analyzed, and mediation of selected CRFs tested using linear regression. Significance was set as p/false discovery rate &lt; 0.05.</w:t>
      </w:r>
      <w:r w:rsidR="002B6DAB">
        <w:rPr>
          <w:b w:val="0"/>
          <w:sz w:val="20"/>
        </w:rPr>
        <w:t xml:space="preserve"> </w:t>
      </w:r>
    </w:p>
    <w:p w14:paraId="3FD90909" w14:textId="5A9E93A9" w:rsidR="002D6156" w:rsidRPr="002D6156" w:rsidRDefault="002D6156" w:rsidP="00CE3C75">
      <w:pPr>
        <w:pStyle w:val="Els-Abstract-head"/>
        <w:spacing w:after="0" w:line="240" w:lineRule="auto"/>
        <w:jc w:val="both"/>
        <w:rPr>
          <w:b w:val="0"/>
          <w:sz w:val="20"/>
          <w:u w:val="single"/>
        </w:rPr>
      </w:pPr>
      <w:r w:rsidRPr="002D6156">
        <w:rPr>
          <w:b w:val="0"/>
          <w:sz w:val="20"/>
          <w:u w:val="single"/>
        </w:rPr>
        <w:t>Results</w:t>
      </w:r>
    </w:p>
    <w:p w14:paraId="0ED4448A" w14:textId="399FC325" w:rsidR="007D5F0F" w:rsidRPr="007D5F0F" w:rsidRDefault="002B6DAB" w:rsidP="00CE3C75">
      <w:pPr>
        <w:pStyle w:val="Els-Abstract-head"/>
        <w:spacing w:after="0" w:line="240" w:lineRule="auto"/>
        <w:jc w:val="both"/>
        <w:rPr>
          <w:b w:val="0"/>
          <w:sz w:val="20"/>
        </w:rPr>
      </w:pPr>
      <w:r w:rsidRPr="002B6DAB">
        <w:rPr>
          <w:b w:val="0"/>
          <w:sz w:val="20"/>
        </w:rPr>
        <w:t xml:space="preserve">Protein supplementation did not significantly alter CRFs, apart from significant group x time interaction for triglycerides (TG) (p = 0.02), with higher TG in Control than Soy at W16. ASCA identified 24 plasma and 223 urine metabolites associated with time x protein quantity interaction, while LMM identified 133 plasma and 758 urine metabolites differing by protein source. Pathway enrichment showed that protein quantity influenced branch-chained amino acid biosynthesis, while protein source </w:t>
      </w:r>
      <w:r w:rsidRPr="00CC2078">
        <w:rPr>
          <w:b w:val="0"/>
          <w:sz w:val="20"/>
        </w:rPr>
        <w:t>affected plasma amino acid metabolism (Casein vs Control) and urinary caffeine metabolism (Soy vs Control). No selected metabolites mediated TG changes, suggesting involvement of pathways not captured in the present analysis.</w:t>
      </w:r>
      <w:r w:rsidR="00CC2078" w:rsidRPr="00CC2078">
        <w:rPr>
          <w:b w:val="0"/>
          <w:sz w:val="20"/>
        </w:rPr>
        <w:t xml:space="preserve"> In conclusion, Protein supplementation from different sources modulated amino acid-related metabolomic pathways but showed limited associations with cardiometabolic health. Broader omics approaches (e.g., lipidomics) may further clarify the metabolic links between dietary protein intake and CRFs given the observed lipid-lipoprotein changes.</w:t>
      </w:r>
    </w:p>
    <w:p w14:paraId="7687299F" w14:textId="77777777" w:rsidR="007679DD" w:rsidRDefault="007679DD" w:rsidP="007679DD">
      <w:pPr>
        <w:rPr>
          <w:rFonts w:ascii="Times New Roman" w:hAnsi="Times New Roman" w:cs="Times New Roman"/>
          <w:sz w:val="20"/>
          <w:szCs w:val="20"/>
          <w:lang w:val="en-US" w:eastAsia="zh-CN"/>
        </w:rPr>
      </w:pPr>
    </w:p>
    <w:p w14:paraId="1846F9B1" w14:textId="6E460A2F" w:rsidR="00660C53" w:rsidRPr="00660C53" w:rsidRDefault="00660C53" w:rsidP="007679DD">
      <w:pPr>
        <w:rPr>
          <w:rFonts w:ascii="Times New Roman" w:hAnsi="Times New Roman" w:cs="Times New Roman"/>
          <w:b/>
          <w:bCs/>
          <w:sz w:val="20"/>
          <w:szCs w:val="20"/>
          <w:lang w:val="en-US" w:eastAsia="zh-CN"/>
        </w:rPr>
      </w:pPr>
      <w:r w:rsidRPr="00660C53">
        <w:rPr>
          <w:rFonts w:ascii="Times New Roman" w:hAnsi="Times New Roman" w:cs="Times New Roman"/>
          <w:b/>
          <w:bCs/>
          <w:sz w:val="20"/>
          <w:szCs w:val="20"/>
          <w:lang w:val="en-US" w:eastAsia="zh-CN"/>
        </w:rPr>
        <w:t>Funding</w:t>
      </w:r>
    </w:p>
    <w:p w14:paraId="282E1379" w14:textId="36CFE3C2" w:rsidR="00660C53" w:rsidRPr="00660C53" w:rsidRDefault="00660C53" w:rsidP="00665C88">
      <w:pPr>
        <w:pStyle w:val="Els-keywords"/>
        <w:spacing w:after="120" w:line="240" w:lineRule="auto"/>
        <w:rPr>
          <w:bCs/>
          <w:sz w:val="20"/>
        </w:rPr>
      </w:pPr>
      <w:r>
        <w:rPr>
          <w:bCs/>
          <w:sz w:val="20"/>
        </w:rPr>
        <w:t>Bezos Earth Fund</w:t>
      </w:r>
    </w:p>
    <w:p w14:paraId="5C7F9D5C" w14:textId="77777777" w:rsidR="00660C53" w:rsidRDefault="00660C53" w:rsidP="00665C88">
      <w:pPr>
        <w:pStyle w:val="Els-keywords"/>
        <w:spacing w:after="120" w:line="240" w:lineRule="auto"/>
        <w:rPr>
          <w:b/>
          <w:sz w:val="20"/>
        </w:rPr>
      </w:pPr>
    </w:p>
    <w:p w14:paraId="0AE07FD0" w14:textId="6A29B131" w:rsidR="002A0A1C" w:rsidRPr="00C67487" w:rsidRDefault="002A0A1C" w:rsidP="00665C88">
      <w:pPr>
        <w:pStyle w:val="Els-keywords"/>
        <w:spacing w:after="120" w:line="240" w:lineRule="auto"/>
        <w:rPr>
          <w:b/>
          <w:sz w:val="20"/>
        </w:rPr>
      </w:pPr>
      <w:r w:rsidRPr="00C67487">
        <w:rPr>
          <w:b/>
          <w:sz w:val="20"/>
        </w:rPr>
        <w:t>References</w:t>
      </w:r>
    </w:p>
    <w:p w14:paraId="0D65510C" w14:textId="1C995F87" w:rsidR="00E16A3C" w:rsidRDefault="002A0A1C" w:rsidP="00665C88">
      <w:pPr>
        <w:pStyle w:val="Els-keywords"/>
        <w:spacing w:after="120" w:line="240" w:lineRule="auto"/>
        <w:rPr>
          <w:sz w:val="20"/>
        </w:rPr>
      </w:pPr>
      <w:r w:rsidRPr="00C67487">
        <w:rPr>
          <w:sz w:val="20"/>
        </w:rPr>
        <w:t xml:space="preserve">[1] </w:t>
      </w:r>
      <w:r w:rsidR="00E16A3C" w:rsidRPr="00E16A3C">
        <w:rPr>
          <w:sz w:val="20"/>
        </w:rPr>
        <w:t xml:space="preserve">Lépine, G., Fouillet, H., Rémond, D., Huneau, J. F., Mariotti, F., &amp; Polakof, S. (2021). A scoping review: metabolomics signatures associated with animal and plant protein intake and their potential relation with cardiometabolic risk. </w:t>
      </w:r>
      <w:r w:rsidR="00E16A3C" w:rsidRPr="00E16A3C">
        <w:rPr>
          <w:i/>
          <w:iCs/>
          <w:sz w:val="20"/>
        </w:rPr>
        <w:t>Advances in nutrition, 12</w:t>
      </w:r>
      <w:r w:rsidR="00E16A3C" w:rsidRPr="00E16A3C">
        <w:rPr>
          <w:sz w:val="20"/>
        </w:rPr>
        <w:t>(6), 2112-2131.</w:t>
      </w:r>
      <w:r w:rsidR="00E16A3C">
        <w:rPr>
          <w:sz w:val="20"/>
        </w:rPr>
        <w:t xml:space="preserve"> </w:t>
      </w:r>
    </w:p>
    <w:p w14:paraId="6911FF96" w14:textId="6B0344EB" w:rsidR="00665C88" w:rsidRPr="00665C88" w:rsidRDefault="00E16A3C" w:rsidP="00665C88">
      <w:pPr>
        <w:pStyle w:val="Els-keywords"/>
        <w:spacing w:after="120" w:line="240" w:lineRule="auto"/>
        <w:rPr>
          <w:sz w:val="20"/>
        </w:rPr>
      </w:pPr>
      <w:r>
        <w:rPr>
          <w:sz w:val="20"/>
        </w:rPr>
        <w:t xml:space="preserve">[2] </w:t>
      </w:r>
      <w:r w:rsidR="00BA187B" w:rsidRPr="00BA187B">
        <w:rPr>
          <w:sz w:val="20"/>
        </w:rPr>
        <w:t xml:space="preserve">Walker, M. E., Song, R. J., Xu, X., Gerszten, R. E., Ngo, D., Clish, C. B., &amp; Vasan, R. S. (2020). Proteomic and metabolomic correlates of healthy dietary patterns: the Framingham Heart Study. </w:t>
      </w:r>
      <w:r w:rsidR="00BA187B" w:rsidRPr="00BA187B">
        <w:rPr>
          <w:i/>
          <w:iCs/>
          <w:sz w:val="20"/>
        </w:rPr>
        <w:t>Nutrients, 12</w:t>
      </w:r>
      <w:r w:rsidR="00BA187B" w:rsidRPr="00BA187B">
        <w:rPr>
          <w:sz w:val="20"/>
        </w:rPr>
        <w:t>(5), 1476.</w:t>
      </w:r>
    </w:p>
    <w:p w14:paraId="7BC67066" w14:textId="2BBE0529" w:rsidR="003B0ABD" w:rsidRPr="00314B9C" w:rsidRDefault="003B6CDC" w:rsidP="00314B9C">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881B2D" w:rsidRPr="00881B2D">
        <w:rPr>
          <w:sz w:val="18"/>
          <w:szCs w:val="18"/>
          <w:lang w:val="nb-NO"/>
        </w:rPr>
        <w:t>fstkje@nus.edu.sg</w:t>
      </w:r>
    </w:p>
    <w:sectPr w:rsidR="003B0ABD" w:rsidRPr="00314B9C"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B5384" w14:textId="77777777" w:rsidR="00D6127B" w:rsidRDefault="00D6127B" w:rsidP="00431340">
      <w:pPr>
        <w:spacing w:after="0" w:line="240" w:lineRule="auto"/>
      </w:pPr>
      <w:r>
        <w:separator/>
      </w:r>
    </w:p>
  </w:endnote>
  <w:endnote w:type="continuationSeparator" w:id="0">
    <w:p w14:paraId="4C7595A4" w14:textId="77777777" w:rsidR="00D6127B" w:rsidRDefault="00D6127B"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C8A30" w14:textId="77777777" w:rsidR="00D6127B" w:rsidRDefault="00D6127B" w:rsidP="00431340">
      <w:pPr>
        <w:spacing w:after="0" w:line="240" w:lineRule="auto"/>
      </w:pPr>
      <w:r>
        <w:separator/>
      </w:r>
    </w:p>
  </w:footnote>
  <w:footnote w:type="continuationSeparator" w:id="0">
    <w:p w14:paraId="3A632473" w14:textId="77777777" w:rsidR="00D6127B" w:rsidRDefault="00D6127B" w:rsidP="0043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8054E"/>
    <w:rsid w:val="000E4A94"/>
    <w:rsid w:val="001C51B3"/>
    <w:rsid w:val="00234209"/>
    <w:rsid w:val="00235804"/>
    <w:rsid w:val="002537DA"/>
    <w:rsid w:val="002A0A1C"/>
    <w:rsid w:val="002A2B3C"/>
    <w:rsid w:val="002A4C98"/>
    <w:rsid w:val="002B6DAB"/>
    <w:rsid w:val="002D6156"/>
    <w:rsid w:val="00314B9C"/>
    <w:rsid w:val="00346366"/>
    <w:rsid w:val="00372579"/>
    <w:rsid w:val="003B0ABD"/>
    <w:rsid w:val="003B6CDC"/>
    <w:rsid w:val="00431340"/>
    <w:rsid w:val="004B7E87"/>
    <w:rsid w:val="004C7508"/>
    <w:rsid w:val="004D1125"/>
    <w:rsid w:val="00533559"/>
    <w:rsid w:val="0059506C"/>
    <w:rsid w:val="005B77D8"/>
    <w:rsid w:val="005C0194"/>
    <w:rsid w:val="0061746B"/>
    <w:rsid w:val="00646E7D"/>
    <w:rsid w:val="00654033"/>
    <w:rsid w:val="00660C53"/>
    <w:rsid w:val="00665C88"/>
    <w:rsid w:val="00673656"/>
    <w:rsid w:val="006D3652"/>
    <w:rsid w:val="0070599D"/>
    <w:rsid w:val="007679DD"/>
    <w:rsid w:val="00772B06"/>
    <w:rsid w:val="007752C7"/>
    <w:rsid w:val="0078067E"/>
    <w:rsid w:val="00781D43"/>
    <w:rsid w:val="007D5F0F"/>
    <w:rsid w:val="00827794"/>
    <w:rsid w:val="00881B2D"/>
    <w:rsid w:val="00940875"/>
    <w:rsid w:val="00944D7B"/>
    <w:rsid w:val="009801A3"/>
    <w:rsid w:val="0098657C"/>
    <w:rsid w:val="009C4D73"/>
    <w:rsid w:val="009C71BA"/>
    <w:rsid w:val="00BA187B"/>
    <w:rsid w:val="00BE265A"/>
    <w:rsid w:val="00BF77A7"/>
    <w:rsid w:val="00C17F75"/>
    <w:rsid w:val="00C4616B"/>
    <w:rsid w:val="00C67487"/>
    <w:rsid w:val="00C7073F"/>
    <w:rsid w:val="00CA5E46"/>
    <w:rsid w:val="00CC179B"/>
    <w:rsid w:val="00CC2078"/>
    <w:rsid w:val="00CE3C75"/>
    <w:rsid w:val="00CF5E1F"/>
    <w:rsid w:val="00D10E69"/>
    <w:rsid w:val="00D6127B"/>
    <w:rsid w:val="00D753D4"/>
    <w:rsid w:val="00DA359A"/>
    <w:rsid w:val="00DD4FF9"/>
    <w:rsid w:val="00E16A3C"/>
    <w:rsid w:val="00EA452A"/>
    <w:rsid w:val="00F55548"/>
    <w:rsid w:val="00F671BA"/>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531</Words>
  <Characters>3029</Characters>
  <Application>Microsoft Office Word</Application>
  <DocSecurity>0</DocSecurity>
  <Lines>25</Lines>
  <Paragraphs>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Nicole Wong Min Yee</cp:lastModifiedBy>
  <cp:revision>30</cp:revision>
  <dcterms:created xsi:type="dcterms:W3CDTF">2026-02-04T06:37:00Z</dcterms:created>
  <dcterms:modified xsi:type="dcterms:W3CDTF">2026-04-28T14:28:00Z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