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6CD9450B" w:rsidR="00431340" w:rsidRPr="00C67487" w:rsidRDefault="00112331" w:rsidP="00C67487">
      <w:pPr>
        <w:pStyle w:val="Els-Title"/>
      </w:pPr>
      <w:r>
        <w:t>Oxy Thru 0.2L as a Reliable Vessel for</w:t>
      </w:r>
      <w:r>
        <w:br/>
      </w:r>
      <w:r w:rsidRPr="00112331">
        <w:t>Multi-Species Cultivated Meat Production</w:t>
      </w:r>
    </w:p>
    <w:p w14:paraId="5342D5C1" w14:textId="66801DFB" w:rsidR="00673656" w:rsidRPr="00186D3A" w:rsidRDefault="00112331" w:rsidP="00D83727">
      <w:pPr>
        <w:pStyle w:val="Els-Author"/>
        <w:ind w:right="2"/>
        <w:rPr>
          <w:sz w:val="24"/>
          <w:szCs w:val="24"/>
        </w:rPr>
        <w:sectPr w:rsidR="00673656" w:rsidRPr="00186D3A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186D3A">
        <w:rPr>
          <w:sz w:val="24"/>
          <w:szCs w:val="24"/>
          <w:lang w:val="nb-NO"/>
        </w:rPr>
        <w:t>GA Helena</w:t>
      </w:r>
      <w:r w:rsidR="00C67487" w:rsidRPr="00186D3A">
        <w:rPr>
          <w:sz w:val="24"/>
          <w:szCs w:val="24"/>
          <w:vertAlign w:val="superscript"/>
          <w:lang w:val="nb-NO"/>
        </w:rPr>
        <w:t>a</w:t>
      </w:r>
      <w:r w:rsidR="00673656" w:rsidRPr="00186D3A">
        <w:rPr>
          <w:sz w:val="24"/>
          <w:szCs w:val="24"/>
          <w:vertAlign w:val="superscript"/>
        </w:rPr>
        <w:footnoteReference w:id="1"/>
      </w:r>
      <w:r w:rsidR="00673656" w:rsidRPr="00186D3A">
        <w:rPr>
          <w:sz w:val="24"/>
          <w:szCs w:val="24"/>
          <w:lang w:val="nb-NO"/>
        </w:rPr>
        <w:t xml:space="preserve">, </w:t>
      </w:r>
      <w:r w:rsidRPr="00186D3A">
        <w:rPr>
          <w:sz w:val="24"/>
          <w:szCs w:val="24"/>
          <w:lang w:val="nb-NO"/>
        </w:rPr>
        <w:t>Y. Takagaki</w:t>
      </w:r>
      <w:r w:rsidR="00673656" w:rsidRPr="00186D3A">
        <w:rPr>
          <w:sz w:val="24"/>
          <w:szCs w:val="24"/>
          <w:vertAlign w:val="superscript"/>
          <w:lang w:val="nb-NO"/>
        </w:rPr>
        <w:t>b</w:t>
      </w:r>
      <w:r w:rsidR="00443452" w:rsidRPr="00186D3A">
        <w:rPr>
          <w:sz w:val="24"/>
          <w:szCs w:val="24"/>
        </w:rPr>
        <w:t>, N. Funamoto</w:t>
      </w:r>
      <w:r w:rsidR="00024879" w:rsidRPr="00186D3A">
        <w:rPr>
          <w:sz w:val="24"/>
          <w:szCs w:val="24"/>
          <w:vertAlign w:val="superscript"/>
          <w:lang w:val="nb-NO"/>
        </w:rPr>
        <w:t>b</w:t>
      </w:r>
      <w:r w:rsidR="00443452" w:rsidRPr="00186D3A">
        <w:rPr>
          <w:sz w:val="24"/>
          <w:szCs w:val="24"/>
        </w:rPr>
        <w:t xml:space="preserve">,  </w:t>
      </w:r>
      <w:r w:rsidR="00933148" w:rsidRPr="00186D3A">
        <w:rPr>
          <w:sz w:val="24"/>
          <w:szCs w:val="24"/>
        </w:rPr>
        <w:t>S. Tatsumi</w:t>
      </w:r>
      <w:r w:rsidR="00024879" w:rsidRPr="00186D3A">
        <w:rPr>
          <w:sz w:val="24"/>
          <w:szCs w:val="24"/>
          <w:vertAlign w:val="superscript"/>
          <w:lang w:val="nb-NO"/>
        </w:rPr>
        <w:t>b</w:t>
      </w:r>
      <w:r w:rsidR="008E7BDE" w:rsidRPr="00186D3A">
        <w:rPr>
          <w:sz w:val="24"/>
          <w:szCs w:val="24"/>
        </w:rPr>
        <w:t>,</w:t>
      </w:r>
      <w:r w:rsidR="00744302" w:rsidRPr="00186D3A">
        <w:rPr>
          <w:sz w:val="24"/>
          <w:szCs w:val="24"/>
        </w:rPr>
        <w:t xml:space="preserve">  M. Yui</w:t>
      </w:r>
      <w:r w:rsidR="00024879" w:rsidRPr="00024879">
        <w:rPr>
          <w:sz w:val="24"/>
          <w:szCs w:val="24"/>
          <w:vertAlign w:val="superscript"/>
          <w:lang w:val="nb-NO"/>
        </w:rPr>
        <w:t xml:space="preserve"> </w:t>
      </w:r>
      <w:r w:rsidR="00024879" w:rsidRPr="00186D3A">
        <w:rPr>
          <w:sz w:val="24"/>
          <w:szCs w:val="24"/>
          <w:vertAlign w:val="superscript"/>
          <w:lang w:val="nb-NO"/>
        </w:rPr>
        <w:t>a</w:t>
      </w:r>
      <w:r w:rsidR="00933148" w:rsidRPr="00186D3A">
        <w:rPr>
          <w:sz w:val="24"/>
          <w:szCs w:val="24"/>
        </w:rPr>
        <w:t>, I. Kawashima</w:t>
      </w:r>
      <w:r w:rsidR="00024879" w:rsidRPr="00024879">
        <w:rPr>
          <w:sz w:val="24"/>
          <w:szCs w:val="24"/>
          <w:vertAlign w:val="superscript"/>
          <w:lang w:val="nb-NO"/>
        </w:rPr>
        <w:t xml:space="preserve"> </w:t>
      </w:r>
      <w:r w:rsidR="00024879" w:rsidRPr="00186D3A">
        <w:rPr>
          <w:sz w:val="24"/>
          <w:szCs w:val="24"/>
          <w:vertAlign w:val="superscript"/>
          <w:lang w:val="nb-NO"/>
        </w:rPr>
        <w:t>a</w:t>
      </w:r>
      <w:r w:rsidR="00832218" w:rsidRPr="00832218">
        <w:rPr>
          <w:sz w:val="24"/>
          <w:szCs w:val="24"/>
        </w:rPr>
        <w:t xml:space="preserve"> </w:t>
      </w:r>
      <w:r w:rsidR="00832218">
        <w:rPr>
          <w:sz w:val="24"/>
          <w:szCs w:val="24"/>
        </w:rPr>
        <w:t>, Y</w:t>
      </w:r>
      <w:r w:rsidR="00832218" w:rsidRPr="00186D3A">
        <w:rPr>
          <w:sz w:val="24"/>
          <w:szCs w:val="24"/>
        </w:rPr>
        <w:t xml:space="preserve">. </w:t>
      </w:r>
      <w:r w:rsidR="00832218">
        <w:rPr>
          <w:sz w:val="24"/>
          <w:szCs w:val="24"/>
        </w:rPr>
        <w:t>Hanyu</w:t>
      </w:r>
      <w:r w:rsidR="00832218" w:rsidRPr="00024879">
        <w:rPr>
          <w:sz w:val="24"/>
          <w:szCs w:val="24"/>
          <w:vertAlign w:val="superscript"/>
          <w:lang w:val="nb-NO"/>
        </w:rPr>
        <w:t xml:space="preserve"> </w:t>
      </w:r>
      <w:r w:rsidR="00832218" w:rsidRPr="00186D3A">
        <w:rPr>
          <w:sz w:val="24"/>
          <w:szCs w:val="24"/>
          <w:vertAlign w:val="superscript"/>
          <w:lang w:val="nb-NO"/>
        </w:rPr>
        <w:t>a</w:t>
      </w:r>
    </w:p>
    <w:p w14:paraId="7E01F92A" w14:textId="5A66054D" w:rsidR="005F62D6" w:rsidRPr="005F62D6" w:rsidRDefault="004C7508" w:rsidP="005F62D6">
      <w:pPr>
        <w:pStyle w:val="Els-Affiliation"/>
        <w:rPr>
          <w:lang w:val="nb-NO"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5F62D6" w:rsidRPr="005F62D6">
        <w:rPr>
          <w:lang w:val="nb-NO"/>
        </w:rPr>
        <w:t>Integri</w:t>
      </w:r>
      <w:r w:rsidR="00C204C3">
        <w:rPr>
          <w:rFonts w:eastAsia="游明朝" w:hint="eastAsia"/>
          <w:lang w:val="nb-NO" w:eastAsia="ja-JP"/>
        </w:rPr>
        <w:t>c</w:t>
      </w:r>
      <w:r w:rsidR="005F62D6" w:rsidRPr="005F62D6">
        <w:rPr>
          <w:lang w:val="nb-NO"/>
        </w:rPr>
        <w:t>ulture Inc., Shonan Health Innovation Park A32F 3111, 2-26-1 Muraokahigashi, Fujisawa, Kanagawa 251-8555, Japan</w:t>
      </w:r>
    </w:p>
    <w:p w14:paraId="652CE03F" w14:textId="2CC0AAF5" w:rsidR="00431340" w:rsidRPr="00234209" w:rsidRDefault="005F62D6" w:rsidP="005F62D6">
      <w:pPr>
        <w:pStyle w:val="Els-Affiliation"/>
        <w:rPr>
          <w:iCs/>
        </w:rPr>
      </w:pPr>
      <w:r w:rsidRPr="005F62D6">
        <w:rPr>
          <w:lang w:val="nb-NO"/>
        </w:rPr>
        <w:t>b Sumitomo Riko Co., Ltd., JP Tower Nagoya, 1-1-1 Meieki, Nakamura-ku, Nagoya-shi, Aichi 450-6316, Japan</w:t>
      </w:r>
    </w:p>
    <w:p w14:paraId="7715227C" w14:textId="77777777" w:rsidR="00431340" w:rsidRPr="00BF77A7" w:rsidRDefault="00431340" w:rsidP="0088263C">
      <w:pPr>
        <w:pStyle w:val="Els-Abstract-head"/>
        <w:spacing w:before="120" w:after="0" w:line="240" w:lineRule="auto"/>
        <w:jc w:val="center"/>
        <w:rPr>
          <w:sz w:val="20"/>
        </w:rPr>
      </w:pPr>
      <w:r w:rsidRPr="00BF77A7">
        <w:rPr>
          <w:sz w:val="20"/>
        </w:rPr>
        <w:t>Abstract</w:t>
      </w:r>
    </w:p>
    <w:p w14:paraId="7687299F" w14:textId="7E1BC13F" w:rsidR="007679DD" w:rsidRPr="002F51C0" w:rsidRDefault="00F25CC7" w:rsidP="00112331">
      <w:pPr>
        <w:jc w:val="both"/>
        <w:rPr>
          <w:rFonts w:ascii="Times New Roman" w:eastAsia="游明朝" w:hAnsi="Times New Roman" w:cs="Times New Roman"/>
          <w:sz w:val="20"/>
          <w:szCs w:val="20"/>
          <w:lang w:val="en-US" w:eastAsia="ja-JP"/>
        </w:rPr>
      </w:pPr>
      <w:r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Advancements </w:t>
      </w:r>
      <w:r w:rsidR="004D3D2C">
        <w:rPr>
          <w:rFonts w:ascii="Times New Roman" w:eastAsia="SimSun" w:hAnsi="Times New Roman" w:cs="Times New Roman"/>
          <w:sz w:val="20"/>
          <w:szCs w:val="20"/>
          <w:lang w:val="en-US"/>
        </w:rPr>
        <w:t>in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4368FB">
        <w:rPr>
          <w:rFonts w:ascii="Times New Roman" w:eastAsia="SimSun" w:hAnsi="Times New Roman" w:cs="Times New Roman"/>
          <w:sz w:val="20"/>
          <w:szCs w:val="20"/>
          <w:lang w:val="en-US"/>
        </w:rPr>
        <w:t>cell</w:t>
      </w:r>
      <w:r>
        <w:rPr>
          <w:rFonts w:ascii="Times New Roman" w:eastAsia="SimSun" w:hAnsi="Times New Roman" w:cs="Times New Roman"/>
          <w:sz w:val="20"/>
          <w:szCs w:val="20"/>
          <w:lang w:val="en-US"/>
        </w:rPr>
        <w:t>-</w:t>
      </w:r>
      <w:r w:rsidR="004368FB">
        <w:rPr>
          <w:rFonts w:ascii="Times New Roman" w:eastAsia="SimSun" w:hAnsi="Times New Roman" w:cs="Times New Roman"/>
          <w:sz w:val="20"/>
          <w:szCs w:val="20"/>
          <w:lang w:val="en-US"/>
        </w:rPr>
        <w:t>culture</w:t>
      </w:r>
      <w:r>
        <w:rPr>
          <w:rFonts w:ascii="Times New Roman" w:eastAsia="SimSun" w:hAnsi="Times New Roman" w:cs="Times New Roman"/>
          <w:sz w:val="20"/>
          <w:szCs w:val="20"/>
          <w:lang w:val="en-US"/>
        </w:rPr>
        <w:t>d</w:t>
      </w:r>
      <w:r w:rsidR="004368FB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A91CAC">
        <w:rPr>
          <w:rFonts w:ascii="Times New Roman" w:eastAsia="SimSun" w:hAnsi="Times New Roman" w:cs="Times New Roman"/>
          <w:sz w:val="20"/>
          <w:szCs w:val="20"/>
          <w:lang w:val="en-US"/>
        </w:rPr>
        <w:t>food</w:t>
      </w:r>
      <w:r w:rsidR="00A91CAC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4D3D2C">
        <w:rPr>
          <w:rFonts w:ascii="Times New Roman" w:eastAsia="SimSun" w:hAnsi="Times New Roman" w:cs="Times New Roman"/>
          <w:sz w:val="20"/>
          <w:szCs w:val="20"/>
          <w:lang w:val="en-US"/>
        </w:rPr>
        <w:t>are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currently hindered by the lack of specialized hardware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to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mainta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>in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consistent, 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convenient, and 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>high-quality yields</w:t>
      </w:r>
      <w:r w:rsidR="00411CFF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 xml:space="preserve"> [1</w:t>
      </w:r>
      <w:r w:rsidR="00051D3B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 xml:space="preserve">, </w:t>
      </w:r>
      <w:r w:rsidR="0020065C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>2</w:t>
      </w:r>
      <w:r w:rsidR="00411CFF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>]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. </w:t>
      </w:r>
      <w:r w:rsidR="00357131" w:rsidRPr="00357131">
        <w:rPr>
          <w:rFonts w:ascii="Times New Roman" w:eastAsia="SimSun" w:hAnsi="Times New Roman" w:cs="Times New Roman"/>
          <w:sz w:val="20"/>
          <w:szCs w:val="20"/>
          <w:lang w:val="en-US"/>
        </w:rPr>
        <w:t>There is an urgent need for reliable, specialized culture vessels that bridge the gap between bench-top research and industrial scaling without compromising biological output.</w:t>
      </w:r>
      <w:r w:rsidR="00433369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 xml:space="preserve"> </w:t>
      </w:r>
      <w:r w:rsidR="0073020F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>[</w:t>
      </w:r>
      <w:r w:rsidR="00051D3B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>3</w:t>
      </w:r>
      <w:r w:rsidR="0073020F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>]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>. The Oxy Thru 0.2</w:t>
      </w:r>
      <w:r w:rsidR="003C743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>L cultivator addresses this challenge as a solution designed to meet the diverse metabolic demands of cellular agriculture across various species.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A key feature of this system is the integration of a </w:t>
      </w:r>
      <w:r w:rsidR="00FC1485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solid gas exchange </w:t>
      </w:r>
      <w:r w:rsidR="002D3D55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 xml:space="preserve">through PDMS </w:t>
      </w:r>
      <w:r w:rsidR="008231CF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>(</w:t>
      </w:r>
      <w:r w:rsidR="008231CF" w:rsidRPr="008231CF">
        <w:rPr>
          <w:rFonts w:ascii="Times New Roman" w:eastAsia="游明朝" w:hAnsi="Times New Roman" w:cs="Times New Roman"/>
          <w:sz w:val="20"/>
          <w:szCs w:val="20"/>
          <w:lang w:eastAsia="ja-JP"/>
        </w:rPr>
        <w:t>Polydimethylsiloxane</w:t>
      </w:r>
      <w:r w:rsidR="008231CF">
        <w:rPr>
          <w:rFonts w:ascii="Times New Roman" w:eastAsia="游明朝" w:hAnsi="Times New Roman" w:cs="Times New Roman" w:hint="eastAsia"/>
          <w:sz w:val="20"/>
          <w:szCs w:val="20"/>
          <w:lang w:eastAsia="ja-JP"/>
        </w:rPr>
        <w:t>) material</w:t>
      </w:r>
      <w:r w:rsidR="00FC1485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of the vessel </w:t>
      </w:r>
      <w:r w:rsidR="008231CF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>synergistically combined with</w:t>
      </w:r>
      <w:r w:rsidR="00FC1485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>packed bed culture system</w:t>
      </w:r>
      <w:r w:rsidR="00FC1485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. These both synergistically 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>provide</w:t>
      </w:r>
      <w:r w:rsidR="00FC1485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robust gas exchange facilitation and a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wider 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>surface area for adherent cell growth</w:t>
      </w:r>
      <w:r w:rsidR="00B364F1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 xml:space="preserve"> </w:t>
      </w:r>
      <w:r w:rsidR="00B364F1">
        <w:rPr>
          <w:rFonts w:ascii="Times New Roman" w:eastAsia="游明朝" w:hAnsi="Times New Roman" w:cs="Times New Roman"/>
          <w:sz w:val="20"/>
          <w:szCs w:val="20"/>
          <w:lang w:val="en-US" w:eastAsia="ja-JP"/>
        </w:rPr>
        <w:t>[4]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. </w:t>
      </w:r>
      <w:r w:rsidR="001F0666" w:rsidRPr="001F0666">
        <w:rPr>
          <w:rFonts w:ascii="Times New Roman" w:eastAsia="游明朝" w:hAnsi="Times New Roman" w:cs="Times New Roman"/>
          <w:sz w:val="20"/>
          <w:szCs w:val="20"/>
          <w:lang w:val="en-US" w:eastAsia="ja-JP"/>
        </w:rPr>
        <w:t xml:space="preserve">Preliminary research demonstrates that the Oxy Thru 0.2 L offers superior performance and versatility relative to traditional static glass </w:t>
      </w:r>
      <w:r w:rsidR="00AB2EA2" w:rsidRPr="001F0666">
        <w:rPr>
          <w:rFonts w:ascii="Times New Roman" w:eastAsia="游明朝" w:hAnsi="Times New Roman" w:cs="Times New Roman"/>
          <w:sz w:val="20"/>
          <w:szCs w:val="20"/>
          <w:lang w:val="en-US" w:eastAsia="ja-JP"/>
        </w:rPr>
        <w:t>reactors.</w:t>
      </w:r>
      <w:r w:rsidR="00AB2EA2" w:rsidRPr="00E01250">
        <w:rPr>
          <w:rFonts w:ascii="Times New Roman" w:eastAsia="SimSun" w:hAnsi="Times New Roman" w:cs="Times New Roman"/>
          <w:sz w:val="20"/>
          <w:szCs w:val="20"/>
        </w:rPr>
        <w:t xml:space="preserve"> Using</w:t>
      </w:r>
      <w:r w:rsidR="00E01250" w:rsidRPr="00E01250">
        <w:rPr>
          <w:rFonts w:ascii="Times New Roman" w:eastAsia="SimSun" w:hAnsi="Times New Roman" w:cs="Times New Roman"/>
          <w:sz w:val="20"/>
          <w:szCs w:val="20"/>
        </w:rPr>
        <w:t xml:space="preserve"> this packed bed, scaffold-based culture approach, we evaluated a broad range of cell lines, including avian, ungulate, and teleost </w:t>
      </w:r>
      <w:r w:rsidR="00E01250">
        <w:rPr>
          <w:rFonts w:ascii="Times New Roman" w:eastAsia="SimSun" w:hAnsi="Times New Roman" w:cs="Times New Roman"/>
          <w:sz w:val="20"/>
          <w:szCs w:val="20"/>
        </w:rPr>
        <w:t>cell lines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. The results 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>s</w:t>
      </w:r>
      <w:r w:rsidR="00C13A32">
        <w:rPr>
          <w:rFonts w:ascii="Times New Roman" w:eastAsia="SimSun" w:hAnsi="Times New Roman" w:cs="Times New Roman"/>
          <w:sz w:val="20"/>
          <w:szCs w:val="20"/>
          <w:lang w:val="en-US"/>
        </w:rPr>
        <w:t>h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>owed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that all tested cell types were able to proliferate within the vessel, yielding a comparatively higher total 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viable 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cell number than those in static glass bioreactors. This consistent improvement across </w:t>
      </w:r>
      <w:r w:rsidR="00AB1BD6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 xml:space="preserve">cell lines from these species 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>is attributed to the vessel’s optimized gas exchange and nutrient distribution through the packed be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>d</w:t>
      </w:r>
      <w:r w:rsidR="009C70C2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 xml:space="preserve"> system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. </w:t>
      </w:r>
      <w:r w:rsidR="00624C10" w:rsidRPr="00624C10">
        <w:rPr>
          <w:rFonts w:ascii="Times New Roman" w:eastAsia="SimSun" w:hAnsi="Times New Roman" w:cs="Times New Roman"/>
          <w:sz w:val="20"/>
          <w:szCs w:val="20"/>
        </w:rPr>
        <w:t>The Oxy Thru 0.2 L provides a high-performance environment suitable for diverse cell types, facilitating the transition from bench-top research to industrial scale. By addressing core reliability issues in cellular agriculture, this platform establishes the framework needed to make cultivated meat production more efficient.</w:t>
      </w:r>
    </w:p>
    <w:p w14:paraId="0AE07FD0" w14:textId="77777777" w:rsidR="002A0A1C" w:rsidRPr="00C67487" w:rsidRDefault="002A0A1C" w:rsidP="0020065C">
      <w:pPr>
        <w:pStyle w:val="Els-keywords"/>
        <w:pBdr>
          <w:bottom w:val="single" w:sz="4" w:space="31" w:color="auto"/>
        </w:pBdr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770D7987" w14:textId="4A0D0113" w:rsidR="00411CFF" w:rsidRDefault="002A0A1C" w:rsidP="0020065C">
      <w:pPr>
        <w:pStyle w:val="Els-keywords"/>
        <w:pBdr>
          <w:bottom w:val="single" w:sz="4" w:space="31" w:color="auto"/>
        </w:pBdr>
        <w:spacing w:after="120" w:line="240" w:lineRule="auto"/>
        <w:rPr>
          <w:rFonts w:eastAsia="游明朝"/>
          <w:sz w:val="20"/>
          <w:lang w:eastAsia="ja-JP"/>
        </w:rPr>
      </w:pPr>
      <w:r w:rsidRPr="00C67487">
        <w:rPr>
          <w:sz w:val="20"/>
        </w:rPr>
        <w:t xml:space="preserve">[1] </w:t>
      </w:r>
      <w:r w:rsidR="00411CFF" w:rsidRPr="00411CFF">
        <w:rPr>
          <w:sz w:val="20"/>
          <w:lang w:val="nb-NO"/>
        </w:rPr>
        <w:t xml:space="preserve">C. J. Ngwa, K.-H. Chiu, K. J. Brenner, C. Rodrigues, Z. Peršin Fratnik, J. Vajda, B. Vihar, J. Morales-Dalmau, F. Castelo Ferreira, M. Henkel, and S. Schillberg, “Bioreactor parameters and systems for cultured meat production,” </w:t>
      </w:r>
      <w:r w:rsidR="00411CFF" w:rsidRPr="00411CFF">
        <w:rPr>
          <w:i/>
          <w:iCs/>
          <w:sz w:val="20"/>
          <w:lang w:val="nb-NO"/>
        </w:rPr>
        <w:t>Future Foods</w:t>
      </w:r>
      <w:r w:rsidR="00411CFF" w:rsidRPr="00411CFF">
        <w:rPr>
          <w:sz w:val="20"/>
          <w:lang w:val="nb-NO"/>
        </w:rPr>
        <w:t>, Vol. 12, p. 100796, 2025.</w:t>
      </w:r>
    </w:p>
    <w:p w14:paraId="5C661094" w14:textId="77777777" w:rsidR="00A02182" w:rsidRDefault="0020065C" w:rsidP="0020065C">
      <w:pPr>
        <w:pStyle w:val="Els-keywords"/>
        <w:pBdr>
          <w:bottom w:val="single" w:sz="4" w:space="31" w:color="auto"/>
        </w:pBdr>
        <w:spacing w:after="120" w:line="240" w:lineRule="auto"/>
        <w:rPr>
          <w:sz w:val="20"/>
          <w:lang w:val="nb-NO"/>
        </w:rPr>
      </w:pPr>
      <w:r>
        <w:rPr>
          <w:rFonts w:asciiTheme="minorHAnsi" w:eastAsia="ＭＳ 明朝" w:hAnsiTheme="minorHAnsi" w:cstheme="minorBidi" w:hint="eastAsia"/>
          <w:noProof w:val="0"/>
          <w:sz w:val="22"/>
          <w:szCs w:val="22"/>
          <w:lang w:val="nb-NO" w:eastAsia="ja-JP"/>
        </w:rPr>
        <w:t xml:space="preserve">[2] </w:t>
      </w:r>
      <w:r w:rsidRPr="0020065C">
        <w:rPr>
          <w:sz w:val="20"/>
          <w:lang w:val="nb-NO"/>
        </w:rPr>
        <w:t xml:space="preserve">M. Li, L.-Y. Chin, S. Shukor, A. Tamayo, M. V. Maus, and B. Parekkadan, “Closed loop bioreactor system for the ex vivo expansion of human T-cells,” </w:t>
      </w:r>
      <w:r w:rsidRPr="0020065C">
        <w:rPr>
          <w:i/>
          <w:iCs/>
          <w:sz w:val="20"/>
          <w:lang w:val="nb-NO"/>
        </w:rPr>
        <w:t>Cytotherapy</w:t>
      </w:r>
      <w:r w:rsidRPr="0020065C">
        <w:rPr>
          <w:sz w:val="20"/>
          <w:lang w:val="nb-NO"/>
        </w:rPr>
        <w:t>, Vol. 22, No. 5, pp. 273-281, 2020.</w:t>
      </w:r>
      <w:r>
        <w:rPr>
          <w:rFonts w:eastAsia="游明朝" w:hint="eastAsia"/>
          <w:sz w:val="20"/>
          <w:lang w:val="nb-NO" w:eastAsia="ja-JP"/>
        </w:rPr>
        <w:t xml:space="preserve"> </w:t>
      </w:r>
      <w:r>
        <w:rPr>
          <w:rFonts w:eastAsia="游明朝"/>
          <w:sz w:val="20"/>
          <w:lang w:val="nb-NO" w:eastAsia="ja-JP"/>
        </w:rPr>
        <w:br/>
      </w:r>
      <w:r>
        <w:rPr>
          <w:rFonts w:eastAsia="游明朝"/>
          <w:sz w:val="20"/>
          <w:lang w:val="nb-NO" w:eastAsia="ja-JP"/>
        </w:rPr>
        <w:br/>
      </w:r>
      <w:r w:rsidRPr="00C67487">
        <w:rPr>
          <w:sz w:val="20"/>
        </w:rPr>
        <w:t>[</w:t>
      </w:r>
      <w:r>
        <w:rPr>
          <w:rFonts w:eastAsia="游明朝" w:hint="eastAsia"/>
          <w:sz w:val="20"/>
          <w:lang w:eastAsia="ja-JP"/>
        </w:rPr>
        <w:t>3</w:t>
      </w:r>
      <w:r w:rsidRPr="00C67487">
        <w:rPr>
          <w:sz w:val="20"/>
        </w:rPr>
        <w:t>]</w:t>
      </w:r>
      <w:r>
        <w:rPr>
          <w:rFonts w:eastAsia="游明朝" w:hint="eastAsia"/>
          <w:sz w:val="20"/>
          <w:lang w:eastAsia="ja-JP"/>
        </w:rPr>
        <w:t xml:space="preserve"> </w:t>
      </w:r>
      <w:r w:rsidRPr="00BB75A0">
        <w:rPr>
          <w:sz w:val="20"/>
          <w:lang w:val="nb-NO"/>
        </w:rPr>
        <w:t xml:space="preserve">P. Bajgain, R. Mucharla, J. Dindzans-Kulkarni, L. Guo, and J. F. Vera, “Optimizing the production of suspension cells using the G-Rex ‘M’ series,” </w:t>
      </w:r>
      <w:r w:rsidRPr="00BB75A0">
        <w:rPr>
          <w:i/>
          <w:iCs/>
          <w:sz w:val="20"/>
          <w:lang w:val="nb-NO"/>
        </w:rPr>
        <w:t>Molecular Therapy: Methods &amp; Clinical Development</w:t>
      </w:r>
      <w:r w:rsidRPr="00BB75A0">
        <w:rPr>
          <w:sz w:val="20"/>
          <w:lang w:val="nb-NO"/>
        </w:rPr>
        <w:t>, Vol. 1, p. 14015, 2014.</w:t>
      </w:r>
      <w:r w:rsidR="00A02182">
        <w:rPr>
          <w:sz w:val="20"/>
          <w:lang w:val="nb-NO"/>
        </w:rPr>
        <w:t xml:space="preserve"> </w:t>
      </w:r>
    </w:p>
    <w:p w14:paraId="422C81CD" w14:textId="2C809878" w:rsidR="0020065C" w:rsidRPr="0020065C" w:rsidRDefault="00A02182" w:rsidP="0020065C">
      <w:pPr>
        <w:pStyle w:val="Els-keywords"/>
        <w:pBdr>
          <w:bottom w:val="single" w:sz="4" w:space="31" w:color="auto"/>
        </w:pBdr>
        <w:spacing w:after="120" w:line="240" w:lineRule="auto"/>
        <w:rPr>
          <w:rFonts w:eastAsia="游明朝"/>
          <w:sz w:val="20"/>
          <w:lang w:val="nb-NO" w:eastAsia="ja-JP"/>
        </w:rPr>
      </w:pPr>
      <w:r w:rsidRPr="00C67487">
        <w:rPr>
          <w:sz w:val="20"/>
        </w:rPr>
        <w:t>[</w:t>
      </w:r>
      <w:r>
        <w:rPr>
          <w:rFonts w:eastAsia="游明朝"/>
          <w:sz w:val="20"/>
          <w:lang w:eastAsia="ja-JP"/>
        </w:rPr>
        <w:t>4</w:t>
      </w:r>
      <w:r w:rsidRPr="00C67487">
        <w:rPr>
          <w:sz w:val="20"/>
        </w:rPr>
        <w:t>]</w:t>
      </w:r>
      <w:r>
        <w:rPr>
          <w:sz w:val="20"/>
        </w:rPr>
        <w:t xml:space="preserve"> </w:t>
      </w:r>
      <w:r w:rsidRPr="00A02182">
        <w:rPr>
          <w:sz w:val="20"/>
          <w:lang w:val="nb-NO"/>
        </w:rPr>
        <w:t xml:space="preserve">C. J. Ochs, J. Kasuya, A. Pavesi, and R. D. Kamm, “Oxygen levels in thermoplastic microfluidic devices during cell culture,” </w:t>
      </w:r>
      <w:r w:rsidRPr="00A02182">
        <w:rPr>
          <w:i/>
          <w:iCs/>
          <w:sz w:val="20"/>
          <w:lang w:val="nb-NO"/>
        </w:rPr>
        <w:t>Lab on a Chip</w:t>
      </w:r>
      <w:r w:rsidRPr="00A02182">
        <w:rPr>
          <w:sz w:val="20"/>
          <w:lang w:val="nb-NO"/>
        </w:rPr>
        <w:t>, Vol. 14, No. 3, pp. 459–462, 2014.</w:t>
      </w:r>
    </w:p>
    <w:p w14:paraId="583CC102" w14:textId="77777777" w:rsidR="0020065C" w:rsidRPr="0020065C" w:rsidRDefault="0020065C" w:rsidP="0020065C">
      <w:pPr>
        <w:rPr>
          <w:lang w:eastAsia="ja-JP"/>
        </w:rPr>
      </w:pPr>
    </w:p>
    <w:sectPr w:rsidR="0020065C" w:rsidRPr="0020065C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43B8F" w14:textId="77777777" w:rsidR="00410A08" w:rsidRDefault="00410A08" w:rsidP="00431340">
      <w:pPr>
        <w:spacing w:after="0" w:line="240" w:lineRule="auto"/>
      </w:pPr>
      <w:r>
        <w:separator/>
      </w:r>
    </w:p>
  </w:endnote>
  <w:endnote w:type="continuationSeparator" w:id="0">
    <w:p w14:paraId="14F47991" w14:textId="77777777" w:rsidR="00410A08" w:rsidRDefault="00410A08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E2D4C" w14:textId="77777777" w:rsidR="00410A08" w:rsidRDefault="00410A08" w:rsidP="00431340">
      <w:pPr>
        <w:spacing w:after="0" w:line="240" w:lineRule="auto"/>
      </w:pPr>
      <w:r>
        <w:separator/>
      </w:r>
    </w:p>
  </w:footnote>
  <w:footnote w:type="continuationSeparator" w:id="0">
    <w:p w14:paraId="49DE2E4C" w14:textId="77777777" w:rsidR="00410A08" w:rsidRDefault="00410A08" w:rsidP="00431340">
      <w:pPr>
        <w:spacing w:after="0" w:line="240" w:lineRule="auto"/>
      </w:pPr>
      <w:r>
        <w:continuationSeparator/>
      </w:r>
    </w:p>
  </w:footnote>
  <w:footnote w:id="1">
    <w:p w14:paraId="1DA89215" w14:textId="269FF3A0" w:rsidR="00673656" w:rsidRPr="00BF77A7" w:rsidRDefault="00673656" w:rsidP="00673656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</w:t>
      </w:r>
      <w:bookmarkStart w:id="0" w:name="_Hlk211087958"/>
      <w:bookmarkStart w:id="1" w:name="_Hlk211087959"/>
      <w:bookmarkStart w:id="2" w:name="_Hlk211088033"/>
      <w:bookmarkStart w:id="3" w:name="_Hlk211088034"/>
      <w:r w:rsidRPr="00BF77A7">
        <w:rPr>
          <w:sz w:val="18"/>
          <w:szCs w:val="18"/>
        </w:rPr>
        <w:t xml:space="preserve">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0"/>
      <w:bookmarkEnd w:id="1"/>
      <w:bookmarkEnd w:id="2"/>
      <w:bookmarkEnd w:id="3"/>
      <w:r w:rsidR="00FC0AA7">
        <w:rPr>
          <w:sz w:val="18"/>
          <w:szCs w:val="18"/>
          <w:lang w:val="nb-NO"/>
        </w:rPr>
        <w:t>grace.helena@integriculture.com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24879"/>
    <w:rsid w:val="00051D3B"/>
    <w:rsid w:val="00085579"/>
    <w:rsid w:val="000F6C84"/>
    <w:rsid w:val="001048E7"/>
    <w:rsid w:val="00112331"/>
    <w:rsid w:val="00137CAE"/>
    <w:rsid w:val="00181A3A"/>
    <w:rsid w:val="00186D3A"/>
    <w:rsid w:val="001A0542"/>
    <w:rsid w:val="001C51B3"/>
    <w:rsid w:val="001F0666"/>
    <w:rsid w:val="0020065C"/>
    <w:rsid w:val="00234209"/>
    <w:rsid w:val="002537DA"/>
    <w:rsid w:val="002A0A1C"/>
    <w:rsid w:val="002A2B3C"/>
    <w:rsid w:val="002D3D55"/>
    <w:rsid w:val="002F51C0"/>
    <w:rsid w:val="00303875"/>
    <w:rsid w:val="00304511"/>
    <w:rsid w:val="00357131"/>
    <w:rsid w:val="00372579"/>
    <w:rsid w:val="003B0ABD"/>
    <w:rsid w:val="003C743F"/>
    <w:rsid w:val="00410A08"/>
    <w:rsid w:val="00411CFF"/>
    <w:rsid w:val="00431340"/>
    <w:rsid w:val="00433369"/>
    <w:rsid w:val="004368FB"/>
    <w:rsid w:val="00443452"/>
    <w:rsid w:val="0048244A"/>
    <w:rsid w:val="004B7E87"/>
    <w:rsid w:val="004C7508"/>
    <w:rsid w:val="004D1125"/>
    <w:rsid w:val="004D3D2C"/>
    <w:rsid w:val="00547DB8"/>
    <w:rsid w:val="00592DF1"/>
    <w:rsid w:val="0059506C"/>
    <w:rsid w:val="005B77D8"/>
    <w:rsid w:val="005F62D6"/>
    <w:rsid w:val="00607E9D"/>
    <w:rsid w:val="00624C10"/>
    <w:rsid w:val="00646E7D"/>
    <w:rsid w:val="00654033"/>
    <w:rsid w:val="00665C88"/>
    <w:rsid w:val="00673656"/>
    <w:rsid w:val="00676A10"/>
    <w:rsid w:val="006C2C50"/>
    <w:rsid w:val="006D3652"/>
    <w:rsid w:val="0070599D"/>
    <w:rsid w:val="0073020F"/>
    <w:rsid w:val="007327F8"/>
    <w:rsid w:val="00744302"/>
    <w:rsid w:val="007679DD"/>
    <w:rsid w:val="00772B06"/>
    <w:rsid w:val="007752C7"/>
    <w:rsid w:val="0078067E"/>
    <w:rsid w:val="00781D43"/>
    <w:rsid w:val="007A5D74"/>
    <w:rsid w:val="007D39BC"/>
    <w:rsid w:val="008231CF"/>
    <w:rsid w:val="00827794"/>
    <w:rsid w:val="00832218"/>
    <w:rsid w:val="0088263C"/>
    <w:rsid w:val="008E7BDE"/>
    <w:rsid w:val="00933148"/>
    <w:rsid w:val="009551CE"/>
    <w:rsid w:val="009A27DD"/>
    <w:rsid w:val="009A4D1B"/>
    <w:rsid w:val="009C70C2"/>
    <w:rsid w:val="009C71BA"/>
    <w:rsid w:val="00A02182"/>
    <w:rsid w:val="00A763C0"/>
    <w:rsid w:val="00A91CAC"/>
    <w:rsid w:val="00AB1BD6"/>
    <w:rsid w:val="00AB2EA2"/>
    <w:rsid w:val="00AF0D36"/>
    <w:rsid w:val="00B364F1"/>
    <w:rsid w:val="00B652FC"/>
    <w:rsid w:val="00BA2609"/>
    <w:rsid w:val="00BB75A0"/>
    <w:rsid w:val="00BE265A"/>
    <w:rsid w:val="00BF77A7"/>
    <w:rsid w:val="00C13A32"/>
    <w:rsid w:val="00C17F75"/>
    <w:rsid w:val="00C204C3"/>
    <w:rsid w:val="00C4616B"/>
    <w:rsid w:val="00C662E1"/>
    <w:rsid w:val="00C67487"/>
    <w:rsid w:val="00CB2CD1"/>
    <w:rsid w:val="00CC179B"/>
    <w:rsid w:val="00D10E69"/>
    <w:rsid w:val="00D17CE7"/>
    <w:rsid w:val="00D41090"/>
    <w:rsid w:val="00D53595"/>
    <w:rsid w:val="00D753D4"/>
    <w:rsid w:val="00D83727"/>
    <w:rsid w:val="00DD4FF9"/>
    <w:rsid w:val="00E01250"/>
    <w:rsid w:val="00E47A90"/>
    <w:rsid w:val="00E56418"/>
    <w:rsid w:val="00EA3931"/>
    <w:rsid w:val="00EA7AB5"/>
    <w:rsid w:val="00EF1AC5"/>
    <w:rsid w:val="00F25CC7"/>
    <w:rsid w:val="00F55548"/>
    <w:rsid w:val="00F72C7C"/>
    <w:rsid w:val="00FC0AA7"/>
    <w:rsid w:val="00FC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Grace Helena</cp:lastModifiedBy>
  <cp:revision>4</cp:revision>
  <dcterms:created xsi:type="dcterms:W3CDTF">2026-04-28T14:54:00Z</dcterms:created>
  <dcterms:modified xsi:type="dcterms:W3CDTF">2026-04-28T14:56:00Z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