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212D6B4B" w14:textId="5BCB037B" w:rsidR="006B3CF1" w:rsidRDefault="006B3CF1" w:rsidP="00673656">
      <w:pPr>
        <w:pStyle w:val="Els-Author"/>
        <w:ind w:right="2"/>
        <w:rPr>
          <w:noProof w:val="0"/>
          <w:sz w:val="32"/>
          <w:szCs w:val="32"/>
          <w:lang w:val="nb-NO"/>
        </w:rPr>
      </w:pPr>
      <w:bookmarkStart w:id="0" w:name="OLE_LINK5"/>
      <w:r w:rsidRPr="006B3CF1">
        <w:rPr>
          <w:noProof w:val="0"/>
          <w:sz w:val="32"/>
          <w:szCs w:val="32"/>
          <w:lang w:val="nb-NO"/>
        </w:rPr>
        <w:t>Deamidation of Wheat Gliadin: Structural Modification, Allergenicity Reduction, and Mitigation of Intestinal Epithelial Damage</w:t>
      </w:r>
    </w:p>
    <w:bookmarkEnd w:id="0"/>
    <w:p w14:paraId="5E774EED" w14:textId="31AC3984" w:rsidR="00673656" w:rsidRPr="009C71BA" w:rsidRDefault="00514F81" w:rsidP="00673656">
      <w:pPr>
        <w:pStyle w:val="Els-Author"/>
        <w:ind w:right="2"/>
        <w:rPr>
          <w:sz w:val="24"/>
          <w:szCs w:val="24"/>
          <w:lang w:eastAsia="zh-CN"/>
        </w:rPr>
      </w:pPr>
      <w:r>
        <w:rPr>
          <w:rFonts w:hint="eastAsia"/>
          <w:sz w:val="24"/>
          <w:szCs w:val="24"/>
          <w:lang w:val="nb-NO" w:eastAsia="zh-CN"/>
        </w:rPr>
        <w:t>Mingxi Liu</w:t>
      </w:r>
      <w:r w:rsidR="003052B7">
        <w:rPr>
          <w:rFonts w:hint="eastAsia"/>
          <w:sz w:val="24"/>
          <w:szCs w:val="24"/>
          <w:vertAlign w:val="superscript"/>
          <w:lang w:val="nb-NO" w:eastAsia="zh-CN"/>
        </w:rPr>
        <w:t>a</w:t>
      </w:r>
      <w:r>
        <w:rPr>
          <w:rFonts w:hint="eastAsia"/>
          <w:sz w:val="24"/>
          <w:szCs w:val="24"/>
          <w:vertAlign w:val="superscript"/>
          <w:lang w:val="nb-NO" w:eastAsia="zh-CN"/>
        </w:rPr>
        <w:t>,</w:t>
      </w:r>
      <w:r w:rsidR="003052B7">
        <w:rPr>
          <w:rFonts w:hint="eastAsia"/>
          <w:sz w:val="24"/>
          <w:szCs w:val="24"/>
          <w:vertAlign w:val="superscript"/>
          <w:lang w:val="nb-NO" w:eastAsia="zh-CN"/>
        </w:rPr>
        <w:t>b</w:t>
      </w:r>
      <w:r w:rsidR="00673656" w:rsidRPr="009C71BA">
        <w:rPr>
          <w:sz w:val="24"/>
          <w:szCs w:val="24"/>
          <w:lang w:val="nb-NO"/>
        </w:rPr>
        <w:t>,</w:t>
      </w:r>
      <w:r w:rsidR="000F3874">
        <w:rPr>
          <w:rFonts w:hint="eastAsia"/>
          <w:sz w:val="24"/>
          <w:szCs w:val="24"/>
          <w:lang w:val="nb-NO" w:eastAsia="zh-CN"/>
        </w:rPr>
        <w:t xml:space="preserve"> </w:t>
      </w:r>
      <w:r>
        <w:rPr>
          <w:rFonts w:hint="eastAsia"/>
          <w:sz w:val="24"/>
          <w:szCs w:val="24"/>
          <w:lang w:val="nb-NO" w:eastAsia="zh-CN"/>
        </w:rPr>
        <w:t>Xin Jia</w:t>
      </w:r>
      <w:r w:rsidR="003052B7">
        <w:rPr>
          <w:rFonts w:hint="eastAsia"/>
          <w:sz w:val="24"/>
          <w:szCs w:val="24"/>
          <w:vertAlign w:val="superscript"/>
          <w:lang w:val="nb-NO" w:eastAsia="zh-CN"/>
        </w:rPr>
        <w:t>b</w:t>
      </w:r>
    </w:p>
    <w:p w14:paraId="5342D5C1" w14:textId="5E37BD51" w:rsidR="00673656" w:rsidRPr="00673656" w:rsidRDefault="00673656" w:rsidP="003052B7">
      <w:pPr>
        <w:pStyle w:val="Els-Author"/>
        <w:ind w:right="2"/>
        <w:jc w:val="left"/>
        <w:rPr>
          <w:rFonts w:hint="eastAsia"/>
          <w:sz w:val="28"/>
          <w:szCs w:val="28"/>
          <w:lang w:eastAsia="zh-CN"/>
        </w:rPr>
        <w:sectPr w:rsidR="00673656" w:rsidRPr="00673656" w:rsidSect="00431340">
          <w:footnotePr>
            <w:numFmt w:val="chicago"/>
          </w:footnotePr>
          <w:type w:val="continuous"/>
          <w:pgSz w:w="11906" w:h="16838"/>
          <w:pgMar w:top="1440" w:right="1440" w:bottom="1440" w:left="1440" w:header="708" w:footer="708" w:gutter="0"/>
          <w:cols w:space="708"/>
          <w:docGrid w:linePitch="360"/>
        </w:sectPr>
      </w:pPr>
    </w:p>
    <w:p w14:paraId="2837AF95" w14:textId="1F267CDC" w:rsidR="003052B7" w:rsidRDefault="003052B7" w:rsidP="003052B7">
      <w:pPr>
        <w:pStyle w:val="Els-Affiliation"/>
        <w:rPr>
          <w:lang w:val="nb-NO" w:eastAsia="zh-CN"/>
        </w:rPr>
      </w:pPr>
      <w:r>
        <w:rPr>
          <w:rFonts w:hint="eastAsia"/>
          <w:vertAlign w:val="superscript"/>
          <w:lang w:eastAsia="zh-CN"/>
        </w:rPr>
        <w:t>a</w:t>
      </w:r>
      <w:r w:rsidR="000F3B42">
        <w:rPr>
          <w:rFonts w:hint="eastAsia"/>
          <w:vertAlign w:val="superscript"/>
          <w:lang w:eastAsia="zh-CN"/>
        </w:rPr>
        <w:t xml:space="preserve"> </w:t>
      </w:r>
      <w:r w:rsidR="00514F81" w:rsidRPr="00514F81">
        <w:rPr>
          <w:lang w:val="nb-NO"/>
        </w:rPr>
        <w:t>Department of Food Science and Technology, National University of Singapore, 2 Science Drive 2, 117542</w:t>
      </w:r>
      <w:r w:rsidR="00ED7DAC">
        <w:rPr>
          <w:rFonts w:hint="eastAsia"/>
          <w:lang w:val="nb-NO" w:eastAsia="zh-CN"/>
        </w:rPr>
        <w:t>, Singapore</w:t>
      </w:r>
    </w:p>
    <w:p w14:paraId="05A3C6FA" w14:textId="00E4E0F1" w:rsidR="00431340" w:rsidRPr="003052B7" w:rsidRDefault="003052B7" w:rsidP="003052B7">
      <w:pPr>
        <w:pStyle w:val="Els-Affiliation"/>
        <w:rPr>
          <w:rFonts w:hint="eastAsia"/>
          <w:lang w:val="nb-NO" w:eastAsia="zh-CN"/>
        </w:rPr>
      </w:pPr>
      <w:r>
        <w:rPr>
          <w:rFonts w:hint="eastAsia"/>
          <w:vertAlign w:val="superscript"/>
          <w:lang w:val="nb-NO" w:eastAsia="zh-CN"/>
        </w:rPr>
        <w:t>b</w:t>
      </w:r>
      <w:r>
        <w:rPr>
          <w:rFonts w:hint="eastAsia"/>
          <w:lang w:val="nb-NO" w:eastAsia="zh-CN"/>
        </w:rPr>
        <w:t xml:space="preserve"> </w:t>
      </w:r>
      <w:r w:rsidRPr="00514F81">
        <w:rPr>
          <w:lang w:val="nb-NO"/>
        </w:rPr>
        <w:t>College of Food Science and Nutritional Engineering, China Agricultural University, Beijing 100083</w:t>
      </w:r>
      <w:r>
        <w:rPr>
          <w:rFonts w:hint="eastAsia"/>
          <w:lang w:val="nb-NO" w:eastAsia="zh-CN"/>
        </w:rPr>
        <w:t>, China</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0036B594" w14:textId="3DA88DD7" w:rsidR="00D83389" w:rsidRDefault="00D83389" w:rsidP="00D83389">
      <w:pPr>
        <w:pStyle w:val="Els-Abstract-head"/>
        <w:spacing w:before="120" w:after="0" w:line="240" w:lineRule="auto"/>
        <w:jc w:val="both"/>
        <w:rPr>
          <w:b w:val="0"/>
          <w:sz w:val="20"/>
          <w:lang w:eastAsia="zh-CN"/>
        </w:rPr>
      </w:pPr>
      <w:r>
        <w:rPr>
          <w:rFonts w:hint="eastAsia"/>
          <w:b w:val="0"/>
          <w:sz w:val="20"/>
          <w:lang w:eastAsia="zh-CN"/>
        </w:rPr>
        <w:t xml:space="preserve">Background: </w:t>
      </w:r>
      <w:r w:rsidR="00B9421E" w:rsidRPr="00B9421E">
        <w:rPr>
          <w:b w:val="0"/>
          <w:sz w:val="20"/>
        </w:rPr>
        <w:t xml:space="preserve">Wheat </w:t>
      </w:r>
      <w:r w:rsidR="00B9421E">
        <w:rPr>
          <w:rFonts w:hint="eastAsia"/>
          <w:b w:val="0"/>
          <w:sz w:val="20"/>
          <w:lang w:eastAsia="zh-CN"/>
        </w:rPr>
        <w:t>gliadin</w:t>
      </w:r>
      <w:r w:rsidR="00B9421E" w:rsidRPr="00B9421E">
        <w:rPr>
          <w:b w:val="0"/>
          <w:sz w:val="20"/>
        </w:rPr>
        <w:t xml:space="preserve"> is a primary global allergen, with its glutamine-rich peptides, triggering severe immune responses and direct intestinal epithelial damage</w:t>
      </w:r>
      <w:r w:rsidR="000F3874">
        <w:rPr>
          <w:rFonts w:hint="eastAsia"/>
          <w:b w:val="0"/>
          <w:sz w:val="20"/>
          <w:lang w:eastAsia="zh-CN"/>
        </w:rPr>
        <w:t xml:space="preserve"> [1,2]</w:t>
      </w:r>
      <w:r w:rsidR="00B9421E" w:rsidRPr="00B9421E">
        <w:rPr>
          <w:b w:val="0"/>
          <w:sz w:val="20"/>
        </w:rPr>
        <w:t>. This study aimed to investigate deamidation as a dual-purpose modification strategy: to reduce the IgE-binding capacity and to influence intestinal cellular interactions</w:t>
      </w:r>
      <w:r w:rsidR="00A43D6F">
        <w:rPr>
          <w:rFonts w:hint="eastAsia"/>
          <w:b w:val="0"/>
          <w:sz w:val="20"/>
          <w:lang w:eastAsia="zh-CN"/>
        </w:rPr>
        <w:t>, thus p</w:t>
      </w:r>
      <w:r w:rsidR="00A43D6F" w:rsidRPr="00A43D6F">
        <w:rPr>
          <w:b w:val="0"/>
          <w:sz w:val="20"/>
          <w:lang w:eastAsia="zh-CN"/>
        </w:rPr>
        <w:t>rovid</w:t>
      </w:r>
      <w:r w:rsidR="00A43D6F">
        <w:rPr>
          <w:rFonts w:hint="eastAsia"/>
          <w:b w:val="0"/>
          <w:sz w:val="20"/>
          <w:lang w:eastAsia="zh-CN"/>
        </w:rPr>
        <w:t>ing</w:t>
      </w:r>
      <w:r w:rsidR="00A43D6F" w:rsidRPr="00A43D6F">
        <w:rPr>
          <w:b w:val="0"/>
          <w:sz w:val="20"/>
          <w:lang w:eastAsia="zh-CN"/>
        </w:rPr>
        <w:t xml:space="preserve"> a theoretical foundation for the development of hypoallergenic wheat product</w:t>
      </w:r>
      <w:r w:rsidR="00A43D6F">
        <w:rPr>
          <w:rFonts w:hint="eastAsia"/>
          <w:b w:val="0"/>
          <w:sz w:val="20"/>
          <w:lang w:eastAsia="zh-CN"/>
        </w:rPr>
        <w:t>s</w:t>
      </w:r>
      <w:r w:rsidR="006223B1">
        <w:rPr>
          <w:rFonts w:hint="eastAsia"/>
          <w:b w:val="0"/>
          <w:sz w:val="20"/>
          <w:lang w:eastAsia="zh-CN"/>
        </w:rPr>
        <w:t xml:space="preserve">. </w:t>
      </w:r>
    </w:p>
    <w:p w14:paraId="35D7685B" w14:textId="77777777" w:rsidR="00D83389" w:rsidRDefault="00D83389" w:rsidP="00665C88">
      <w:pPr>
        <w:pStyle w:val="Els-Abstract-head"/>
        <w:spacing w:before="120" w:after="0" w:line="240" w:lineRule="auto"/>
        <w:jc w:val="both"/>
        <w:rPr>
          <w:b w:val="0"/>
          <w:sz w:val="20"/>
        </w:rPr>
      </w:pPr>
      <w:r>
        <w:rPr>
          <w:rFonts w:hint="eastAsia"/>
          <w:b w:val="0"/>
          <w:sz w:val="20"/>
          <w:lang w:eastAsia="zh-CN"/>
        </w:rPr>
        <w:t xml:space="preserve">Methods: </w:t>
      </w:r>
      <w:r w:rsidR="006223B1">
        <w:rPr>
          <w:rFonts w:hint="eastAsia"/>
          <w:b w:val="0"/>
          <w:sz w:val="20"/>
          <w:lang w:eastAsia="zh-CN"/>
        </w:rPr>
        <w:t>In our study, w</w:t>
      </w:r>
      <w:r w:rsidR="00B9421E" w:rsidRPr="00B9421E">
        <w:rPr>
          <w:b w:val="0"/>
          <w:sz w:val="20"/>
        </w:rPr>
        <w:t xml:space="preserve">heat gliadin </w:t>
      </w:r>
      <w:r w:rsidR="006223B1">
        <w:rPr>
          <w:rFonts w:hint="eastAsia"/>
          <w:b w:val="0"/>
          <w:sz w:val="20"/>
          <w:lang w:eastAsia="zh-CN"/>
        </w:rPr>
        <w:t>was</w:t>
      </w:r>
      <w:r w:rsidR="00B9421E" w:rsidRPr="00B9421E">
        <w:rPr>
          <w:b w:val="0"/>
          <w:sz w:val="20"/>
        </w:rPr>
        <w:t xml:space="preserve"> deamidated using citric acid to achieve varying degrees of deamidation (DD). Structural alterations were monitored via SDS-PAGE, FT-IR, and intrinsic fluorescence spectroscopy. To evaluate physiological impact, deamidated gliadin was subjected to pepsin-trypsin digestion. </w:t>
      </w:r>
      <w:r w:rsidR="00DA168A">
        <w:rPr>
          <w:b w:val="0"/>
          <w:sz w:val="20"/>
          <w:lang w:eastAsia="zh-CN"/>
        </w:rPr>
        <w:t>The</w:t>
      </w:r>
      <w:r w:rsidR="00DA168A">
        <w:rPr>
          <w:rFonts w:hint="eastAsia"/>
          <w:b w:val="0"/>
          <w:sz w:val="20"/>
          <w:lang w:eastAsia="zh-CN"/>
        </w:rPr>
        <w:t xml:space="preserve"> </w:t>
      </w:r>
      <w:r w:rsidR="00DA168A">
        <w:rPr>
          <w:b w:val="0"/>
          <w:sz w:val="20"/>
          <w:lang w:eastAsia="zh-CN"/>
        </w:rPr>
        <w:t>yielding</w:t>
      </w:r>
      <w:r w:rsidR="00DA168A">
        <w:rPr>
          <w:rFonts w:hint="eastAsia"/>
          <w:b w:val="0"/>
          <w:sz w:val="20"/>
          <w:lang w:eastAsia="zh-CN"/>
        </w:rPr>
        <w:t xml:space="preserve"> peptides were first </w:t>
      </w:r>
      <w:r w:rsidR="00DA168A" w:rsidRPr="00B9421E">
        <w:rPr>
          <w:b w:val="0"/>
          <w:sz w:val="20"/>
        </w:rPr>
        <w:t xml:space="preserve">was assessed </w:t>
      </w:r>
      <w:r w:rsidR="00DA168A">
        <w:rPr>
          <w:rFonts w:hint="eastAsia"/>
          <w:b w:val="0"/>
          <w:sz w:val="20"/>
          <w:lang w:eastAsia="zh-CN"/>
        </w:rPr>
        <w:t>the a</w:t>
      </w:r>
      <w:r w:rsidR="00DA168A" w:rsidRPr="00B9421E">
        <w:rPr>
          <w:b w:val="0"/>
          <w:sz w:val="20"/>
        </w:rPr>
        <w:t>llergenicity</w:t>
      </w:r>
      <w:r w:rsidR="00DA168A">
        <w:rPr>
          <w:rFonts w:hint="eastAsia"/>
          <w:b w:val="0"/>
          <w:sz w:val="20"/>
          <w:lang w:eastAsia="zh-CN"/>
        </w:rPr>
        <w:t xml:space="preserve"> </w:t>
      </w:r>
      <w:r w:rsidR="00DA168A" w:rsidRPr="00B9421E">
        <w:rPr>
          <w:b w:val="0"/>
          <w:sz w:val="20"/>
        </w:rPr>
        <w:t>using ELISA and immunoblotting with human sera.</w:t>
      </w:r>
      <w:r w:rsidR="00DA168A">
        <w:rPr>
          <w:rFonts w:hint="eastAsia"/>
          <w:b w:val="0"/>
          <w:sz w:val="20"/>
          <w:lang w:eastAsia="zh-CN"/>
        </w:rPr>
        <w:t xml:space="preserve"> Then </w:t>
      </w:r>
      <w:r>
        <w:rPr>
          <w:b w:val="0"/>
          <w:sz w:val="20"/>
          <w:lang w:eastAsia="zh-CN"/>
        </w:rPr>
        <w:t>the</w:t>
      </w:r>
      <w:r>
        <w:rPr>
          <w:rFonts w:hint="eastAsia"/>
          <w:b w:val="0"/>
          <w:sz w:val="20"/>
          <w:lang w:eastAsia="zh-CN"/>
        </w:rPr>
        <w:t xml:space="preserve"> </w:t>
      </w:r>
      <w:r w:rsidR="00DA168A">
        <w:rPr>
          <w:rFonts w:hint="eastAsia"/>
          <w:b w:val="0"/>
          <w:sz w:val="20"/>
          <w:lang w:eastAsia="zh-CN"/>
        </w:rPr>
        <w:t>peptides</w:t>
      </w:r>
      <w:r w:rsidR="00B9421E" w:rsidRPr="00B9421E">
        <w:rPr>
          <w:b w:val="0"/>
          <w:sz w:val="20"/>
        </w:rPr>
        <w:t xml:space="preserve"> were analyzed for self-assembly behaviors, mucus permeation, and intestinal epithelial health. </w:t>
      </w:r>
    </w:p>
    <w:p w14:paraId="6CADE14D" w14:textId="77777777" w:rsidR="00170BC8" w:rsidRDefault="00B9421E" w:rsidP="00665C88">
      <w:pPr>
        <w:pStyle w:val="Els-Abstract-head"/>
        <w:spacing w:before="120" w:after="0" w:line="240" w:lineRule="auto"/>
        <w:jc w:val="both"/>
        <w:rPr>
          <w:b w:val="0"/>
          <w:sz w:val="20"/>
        </w:rPr>
      </w:pPr>
      <w:r w:rsidRPr="00B9421E">
        <w:rPr>
          <w:b w:val="0"/>
          <w:sz w:val="20"/>
        </w:rPr>
        <w:t>Results: Deamidation induced an extended protein structure and partial unfolding, shifting the molecular weight of key allergenic subunits. ELISA and immunoblotting confirmed a significant, DD-dependent reduction in IgE-binding capacity</w:t>
      </w:r>
      <w:r w:rsidR="00CC1357">
        <w:rPr>
          <w:rFonts w:hint="eastAsia"/>
          <w:b w:val="0"/>
          <w:sz w:val="20"/>
          <w:lang w:eastAsia="zh-CN"/>
        </w:rPr>
        <w:t xml:space="preserve">. </w:t>
      </w:r>
      <w:r w:rsidRPr="00B9421E">
        <w:rPr>
          <w:b w:val="0"/>
          <w:sz w:val="20"/>
        </w:rPr>
        <w:t>Furthermore, deamidation enhanced digestion efficiency and altered peptide self-assembly: while untreated gliadin formed spherical nanoparticles that damaged cell membranes, deamidated peptides transitioned into linear monomers or strands. Despite faster mucus permeation due to increased negative charges and shape transition, deamidated peptides exhibited weakened cell membrane interactions and significantly improved Caco-2 cell viability</w:t>
      </w:r>
      <w:r w:rsidR="00CC1357">
        <w:rPr>
          <w:rFonts w:hint="eastAsia"/>
          <w:b w:val="0"/>
          <w:sz w:val="20"/>
          <w:lang w:eastAsia="zh-CN"/>
        </w:rPr>
        <w:t>.</w:t>
      </w:r>
      <w:r w:rsidRPr="00B9421E">
        <w:rPr>
          <w:b w:val="0"/>
          <w:sz w:val="20"/>
        </w:rPr>
        <w:t xml:space="preserve">   </w:t>
      </w:r>
    </w:p>
    <w:p w14:paraId="7687299F" w14:textId="382A7952" w:rsidR="007679DD" w:rsidRDefault="00B9421E" w:rsidP="00170BC8">
      <w:pPr>
        <w:pStyle w:val="Els-Abstract-head"/>
        <w:spacing w:before="120" w:after="0" w:line="240" w:lineRule="auto"/>
        <w:jc w:val="both"/>
        <w:rPr>
          <w:b w:val="0"/>
          <w:sz w:val="20"/>
          <w:lang w:eastAsia="zh-CN"/>
        </w:rPr>
      </w:pPr>
      <w:r w:rsidRPr="00B9421E">
        <w:rPr>
          <w:b w:val="0"/>
          <w:sz w:val="20"/>
        </w:rPr>
        <w:t>Conclusion</w:t>
      </w:r>
      <w:r w:rsidR="00170BC8">
        <w:rPr>
          <w:rFonts w:hint="eastAsia"/>
          <w:b w:val="0"/>
          <w:sz w:val="20"/>
          <w:lang w:eastAsia="zh-CN"/>
        </w:rPr>
        <w:t xml:space="preserve">: </w:t>
      </w:r>
      <w:r w:rsidRPr="00B9421E">
        <w:rPr>
          <w:b w:val="0"/>
          <w:sz w:val="20"/>
        </w:rPr>
        <w:t>These findings demonstrate</w:t>
      </w:r>
      <w:r w:rsidR="00170BC8">
        <w:rPr>
          <w:rFonts w:hint="eastAsia"/>
          <w:b w:val="0"/>
          <w:sz w:val="20"/>
          <w:lang w:eastAsia="zh-CN"/>
        </w:rPr>
        <w:t>d</w:t>
      </w:r>
      <w:r w:rsidRPr="00B9421E">
        <w:rPr>
          <w:b w:val="0"/>
          <w:sz w:val="20"/>
        </w:rPr>
        <w:t xml:space="preserve"> that deamidation effectively diminishe</w:t>
      </w:r>
      <w:r w:rsidR="00170BC8">
        <w:rPr>
          <w:rFonts w:hint="eastAsia"/>
          <w:b w:val="0"/>
          <w:sz w:val="20"/>
          <w:lang w:eastAsia="zh-CN"/>
        </w:rPr>
        <w:t>d</w:t>
      </w:r>
      <w:r w:rsidRPr="00B9421E">
        <w:rPr>
          <w:b w:val="0"/>
          <w:sz w:val="20"/>
        </w:rPr>
        <w:t xml:space="preserve"> the allergenicity of wheat </w:t>
      </w:r>
      <w:r w:rsidR="00170BC8">
        <w:rPr>
          <w:b w:val="0"/>
          <w:sz w:val="20"/>
          <w:lang w:eastAsia="zh-CN"/>
        </w:rPr>
        <w:t>gliadin</w:t>
      </w:r>
      <w:r w:rsidR="00170BC8">
        <w:rPr>
          <w:rFonts w:hint="eastAsia"/>
          <w:b w:val="0"/>
          <w:sz w:val="20"/>
          <w:lang w:eastAsia="zh-CN"/>
        </w:rPr>
        <w:t xml:space="preserve"> </w:t>
      </w:r>
      <w:r w:rsidRPr="00B9421E">
        <w:rPr>
          <w:b w:val="0"/>
          <w:sz w:val="20"/>
        </w:rPr>
        <w:t>while simultaneously mitigating direct intestinal epithelial damage. This research provide</w:t>
      </w:r>
      <w:r w:rsidR="009264A8">
        <w:rPr>
          <w:rFonts w:hint="eastAsia"/>
          <w:b w:val="0"/>
          <w:sz w:val="20"/>
          <w:lang w:eastAsia="zh-CN"/>
        </w:rPr>
        <w:t>d</w:t>
      </w:r>
      <w:r w:rsidRPr="00B9421E">
        <w:rPr>
          <w:b w:val="0"/>
          <w:sz w:val="20"/>
        </w:rPr>
        <w:t xml:space="preserve"> a theoretical foundation for the development of safe, hypoallergenic wheat-based products</w:t>
      </w:r>
      <w:r w:rsidR="00170BC8">
        <w:rPr>
          <w:rFonts w:hint="eastAsia"/>
          <w:b w:val="0"/>
          <w:sz w:val="20"/>
          <w:lang w:eastAsia="zh-CN"/>
        </w:rPr>
        <w:t>.</w:t>
      </w:r>
    </w:p>
    <w:p w14:paraId="7F940912" w14:textId="77777777" w:rsidR="00170BC8" w:rsidRPr="00170BC8" w:rsidRDefault="00170BC8" w:rsidP="00170BC8">
      <w:pPr>
        <w:rPr>
          <w:lang w:val="en-US" w:eastAsia="zh-CN"/>
        </w:rPr>
      </w:pP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6911FF96" w14:textId="5467AD25" w:rsidR="00665C88" w:rsidRPr="00665C88" w:rsidRDefault="002A0A1C" w:rsidP="000F3874">
      <w:pPr>
        <w:pStyle w:val="Els-keywords"/>
        <w:spacing w:after="120" w:line="240" w:lineRule="auto"/>
        <w:jc w:val="both"/>
        <w:rPr>
          <w:sz w:val="20"/>
        </w:rPr>
      </w:pPr>
      <w:r w:rsidRPr="00C67487">
        <w:rPr>
          <w:sz w:val="20"/>
        </w:rPr>
        <w:t xml:space="preserve">[1] </w:t>
      </w:r>
      <w:r w:rsidR="000F3874" w:rsidRPr="000F3874">
        <w:rPr>
          <w:sz w:val="20"/>
          <w:lang w:val="nb-NO"/>
        </w:rPr>
        <w:t xml:space="preserve">Abe, R., Shimizu, S., Yasuda, K., Sugai, M., Okada, Y., Chiba, K., Akao, M., Kumagai, H., &amp; Kumagai, H. (2014). Evaluation of reduced allergenicity of deamidated gliadin in a mouse model of wheat-gliadin allergy using an antibody prepared by a peptide containing three epitopes. Journal of Agricultural and Food Chemistry, 62(13), 2845–2852. </w:t>
      </w:r>
    </w:p>
    <w:p w14:paraId="7BC67066" w14:textId="20CD164E" w:rsidR="003B0ABD" w:rsidRPr="002537DA" w:rsidRDefault="002A0A1C" w:rsidP="0078067E">
      <w:pPr>
        <w:pStyle w:val="Els-keywords"/>
        <w:spacing w:after="120" w:line="240" w:lineRule="auto"/>
        <w:rPr>
          <w:sz w:val="20"/>
        </w:rPr>
      </w:pPr>
      <w:r w:rsidRPr="00C67487">
        <w:rPr>
          <w:sz w:val="20"/>
        </w:rPr>
        <w:t xml:space="preserve">[2] </w:t>
      </w:r>
      <w:r w:rsidR="000F3874" w:rsidRPr="000F3874">
        <w:rPr>
          <w:sz w:val="20"/>
          <w:lang w:val="nb-NO"/>
        </w:rPr>
        <w:t>Feng, G., Han, K., Li, Y., Yang, Q., Feng, W., Wang, J., &amp; Yang, X. (2021). Undigestible gliadin peptide nanoparticles penetrate mucus and reduce mucus production driven by intestinal epithelial cell damage. Journal of Agricultural and Food Chemistry, 69 (28), 7979–7989. https://doi.org/10.1021/acs.jafc.1c02177</w:t>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D51CF" w14:textId="77777777" w:rsidR="00631585" w:rsidRDefault="00631585" w:rsidP="00431340">
      <w:pPr>
        <w:spacing w:after="0" w:line="240" w:lineRule="auto"/>
      </w:pPr>
      <w:r>
        <w:separator/>
      </w:r>
    </w:p>
  </w:endnote>
  <w:endnote w:type="continuationSeparator" w:id="0">
    <w:p w14:paraId="0E14EA43" w14:textId="77777777" w:rsidR="00631585" w:rsidRDefault="00631585"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068AC" w14:textId="77777777" w:rsidR="00631585" w:rsidRDefault="00631585" w:rsidP="00431340">
      <w:pPr>
        <w:spacing w:after="0" w:line="240" w:lineRule="auto"/>
      </w:pPr>
      <w:r>
        <w:separator/>
      </w:r>
    </w:p>
  </w:footnote>
  <w:footnote w:type="continuationSeparator" w:id="0">
    <w:p w14:paraId="0A00CFB8" w14:textId="77777777" w:rsidR="00631585" w:rsidRDefault="00631585" w:rsidP="00431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43497"/>
    <w:rsid w:val="000D4E00"/>
    <w:rsid w:val="000F3874"/>
    <w:rsid w:val="000F3B42"/>
    <w:rsid w:val="00137CC4"/>
    <w:rsid w:val="00170BC8"/>
    <w:rsid w:val="001C51B3"/>
    <w:rsid w:val="00203407"/>
    <w:rsid w:val="00211C15"/>
    <w:rsid w:val="00234209"/>
    <w:rsid w:val="002537DA"/>
    <w:rsid w:val="002A0A1C"/>
    <w:rsid w:val="002A2B3C"/>
    <w:rsid w:val="002D2997"/>
    <w:rsid w:val="003052B7"/>
    <w:rsid w:val="00312D65"/>
    <w:rsid w:val="00372579"/>
    <w:rsid w:val="003B0ABD"/>
    <w:rsid w:val="00431340"/>
    <w:rsid w:val="004B7E87"/>
    <w:rsid w:val="004C7508"/>
    <w:rsid w:val="004D1125"/>
    <w:rsid w:val="00514F81"/>
    <w:rsid w:val="0059506C"/>
    <w:rsid w:val="005B77D8"/>
    <w:rsid w:val="006223B1"/>
    <w:rsid w:val="00631585"/>
    <w:rsid w:val="00646E7D"/>
    <w:rsid w:val="00654033"/>
    <w:rsid w:val="00665C88"/>
    <w:rsid w:val="00673656"/>
    <w:rsid w:val="006B3CF1"/>
    <w:rsid w:val="006D3652"/>
    <w:rsid w:val="00702AE7"/>
    <w:rsid w:val="0070599D"/>
    <w:rsid w:val="00756B94"/>
    <w:rsid w:val="007679DD"/>
    <w:rsid w:val="00772B06"/>
    <w:rsid w:val="007752C7"/>
    <w:rsid w:val="0078067E"/>
    <w:rsid w:val="00781D43"/>
    <w:rsid w:val="007B1AF4"/>
    <w:rsid w:val="00827794"/>
    <w:rsid w:val="00846293"/>
    <w:rsid w:val="008566F8"/>
    <w:rsid w:val="008C4094"/>
    <w:rsid w:val="009264A8"/>
    <w:rsid w:val="00960388"/>
    <w:rsid w:val="009C71BA"/>
    <w:rsid w:val="00A17E1E"/>
    <w:rsid w:val="00A43D6F"/>
    <w:rsid w:val="00A5132D"/>
    <w:rsid w:val="00B02F68"/>
    <w:rsid w:val="00B9421E"/>
    <w:rsid w:val="00BE265A"/>
    <w:rsid w:val="00BF77A7"/>
    <w:rsid w:val="00C17F75"/>
    <w:rsid w:val="00C41D17"/>
    <w:rsid w:val="00C4616B"/>
    <w:rsid w:val="00C67487"/>
    <w:rsid w:val="00CC1357"/>
    <w:rsid w:val="00CC179B"/>
    <w:rsid w:val="00D10E69"/>
    <w:rsid w:val="00D753D4"/>
    <w:rsid w:val="00D83389"/>
    <w:rsid w:val="00DA168A"/>
    <w:rsid w:val="00DD4FF9"/>
    <w:rsid w:val="00E8551D"/>
    <w:rsid w:val="00ED2F19"/>
    <w:rsid w:val="00ED7DAC"/>
    <w:rsid w:val="00F22A67"/>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rsid w:val="00431340"/>
    <w:pPr>
      <w:keepNext/>
      <w:pBdr>
        <w:top w:val="single" w:sz="4" w:space="10" w:color="auto"/>
      </w:pBdr>
      <w:suppressAutoHyphens/>
      <w:spacing w:after="220" w:line="220" w:lineRule="exact"/>
    </w:pPr>
    <w:rPr>
      <w:rFonts w:ascii="Times New Roman" w:eastAsia="宋体" w:hAnsi="Times New Roman" w:cs="Times New Roman"/>
      <w:b/>
      <w:sz w:val="18"/>
      <w:szCs w:val="20"/>
      <w:lang w:val="en-US"/>
    </w:rPr>
  </w:style>
  <w:style w:type="paragraph" w:customStyle="1" w:styleId="Els-Abstract-text">
    <w:name w:val="Els-Abstract-text"/>
    <w:next w:val="a"/>
    <w:rsid w:val="00431340"/>
    <w:pPr>
      <w:spacing w:after="0" w:line="220" w:lineRule="exact"/>
      <w:jc w:val="both"/>
    </w:pPr>
    <w:rPr>
      <w:rFonts w:ascii="Times New Roman" w:eastAsia="宋体"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宋体" w:hAnsi="Times New Roman" w:cs="Times New Roman"/>
      <w:i/>
      <w:noProof/>
      <w:sz w:val="16"/>
      <w:szCs w:val="20"/>
      <w:lang w:val="en-US"/>
    </w:rPr>
  </w:style>
  <w:style w:type="paragraph" w:customStyle="1" w:styleId="Els-Author">
    <w:name w:val="Els-Author"/>
    <w:next w:val="a"/>
    <w:rsid w:val="00431340"/>
    <w:pPr>
      <w:keepNext/>
      <w:suppressAutoHyphens/>
      <w:spacing w:line="300" w:lineRule="exact"/>
      <w:jc w:val="center"/>
    </w:pPr>
    <w:rPr>
      <w:rFonts w:ascii="Times New Roman" w:eastAsia="宋体"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宋体"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宋体"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宋体" w:hAnsi="Times New Roman" w:cs="Times New Roman"/>
      <w:sz w:val="24"/>
      <w:szCs w:val="20"/>
      <w:lang w:val="en-US"/>
    </w:rPr>
  </w:style>
  <w:style w:type="paragraph" w:customStyle="1" w:styleId="Els-1storder-head">
    <w:name w:val="Els-1storder-head"/>
    <w:next w:val="a"/>
    <w:rsid w:val="00431340"/>
    <w:pPr>
      <w:keepNext/>
      <w:numPr>
        <w:numId w:val="1"/>
      </w:numPr>
      <w:tabs>
        <w:tab w:val="num" w:pos="360"/>
      </w:tabs>
      <w:suppressAutoHyphens/>
      <w:spacing w:before="240" w:after="240" w:line="240" w:lineRule="exact"/>
    </w:pPr>
    <w:rPr>
      <w:rFonts w:ascii="Times New Roman" w:eastAsia="宋体" w:hAnsi="Times New Roman" w:cs="Times New Roman"/>
      <w:b/>
      <w:sz w:val="20"/>
      <w:szCs w:val="20"/>
      <w:lang w:val="en-US"/>
    </w:rPr>
  </w:style>
  <w:style w:type="paragraph" w:customStyle="1" w:styleId="Els-2ndorder-head">
    <w:name w:val="Els-2ndorder-head"/>
    <w:next w:val="a"/>
    <w:rsid w:val="00431340"/>
    <w:pPr>
      <w:keepNext/>
      <w:numPr>
        <w:ilvl w:val="1"/>
        <w:numId w:val="1"/>
      </w:numPr>
      <w:tabs>
        <w:tab w:val="num" w:pos="360"/>
      </w:tabs>
      <w:suppressAutoHyphens/>
      <w:spacing w:before="240" w:after="240" w:line="240" w:lineRule="exact"/>
    </w:pPr>
    <w:rPr>
      <w:rFonts w:ascii="Times New Roman" w:eastAsia="宋体" w:hAnsi="Times New Roman" w:cs="Times New Roman"/>
      <w:i/>
      <w:sz w:val="20"/>
      <w:szCs w:val="20"/>
      <w:lang w:val="en-US"/>
    </w:rPr>
  </w:style>
  <w:style w:type="paragraph" w:customStyle="1" w:styleId="Els-3rdorder-head">
    <w:name w:val="Els-3rdorder-head"/>
    <w:next w:val="a"/>
    <w:rsid w:val="00431340"/>
    <w:pPr>
      <w:keepNext/>
      <w:numPr>
        <w:ilvl w:val="2"/>
        <w:numId w:val="1"/>
      </w:numPr>
      <w:tabs>
        <w:tab w:val="num" w:pos="360"/>
      </w:tabs>
      <w:suppressAutoHyphens/>
      <w:spacing w:before="240" w:after="0" w:line="240" w:lineRule="exact"/>
    </w:pPr>
    <w:rPr>
      <w:rFonts w:ascii="Times New Roman" w:eastAsia="宋体" w:hAnsi="Times New Roman" w:cs="Times New Roman"/>
      <w:i/>
      <w:sz w:val="20"/>
      <w:szCs w:val="20"/>
      <w:lang w:val="en-US"/>
    </w:rPr>
  </w:style>
  <w:style w:type="paragraph" w:customStyle="1" w:styleId="Els-4thorder-head">
    <w:name w:val="Els-4thorder-head"/>
    <w:next w:val="a"/>
    <w:rsid w:val="00431340"/>
    <w:pPr>
      <w:keepNext/>
      <w:numPr>
        <w:ilvl w:val="3"/>
        <w:numId w:val="1"/>
      </w:numPr>
      <w:tabs>
        <w:tab w:val="num" w:pos="360"/>
      </w:tabs>
      <w:suppressAutoHyphens/>
      <w:spacing w:before="240" w:after="0" w:line="240" w:lineRule="exact"/>
    </w:pPr>
    <w:rPr>
      <w:rFonts w:ascii="Times New Roman" w:eastAsia="宋体" w:hAnsi="Times New Roman" w:cs="Times New Roman"/>
      <w:i/>
      <w:sz w:val="20"/>
      <w:szCs w:val="20"/>
      <w:lang w:val="en-US"/>
    </w:rPr>
  </w:style>
  <w:style w:type="paragraph" w:customStyle="1" w:styleId="Els-keywords">
    <w:name w:val="Els-keywords"/>
    <w:next w:val="a"/>
    <w:rsid w:val="00431340"/>
    <w:pPr>
      <w:pBdr>
        <w:bottom w:val="single" w:sz="4" w:space="10" w:color="auto"/>
      </w:pBdr>
      <w:spacing w:after="200" w:line="200" w:lineRule="exact"/>
    </w:pPr>
    <w:rPr>
      <w:rFonts w:ascii="Times New Roman" w:eastAsia="宋体" w:hAnsi="Times New Roman" w:cs="Times New Roman"/>
      <w:noProof/>
      <w:sz w:val="16"/>
      <w:szCs w:val="20"/>
      <w:lang w:val="en-US"/>
    </w:rPr>
  </w:style>
  <w:style w:type="paragraph" w:styleId="a3">
    <w:name w:val="header"/>
    <w:basedOn w:val="a"/>
    <w:link w:val="a4"/>
    <w:uiPriority w:val="99"/>
    <w:unhideWhenUsed/>
    <w:rsid w:val="00D10E69"/>
    <w:pPr>
      <w:tabs>
        <w:tab w:val="center" w:pos="4513"/>
        <w:tab w:val="right" w:pos="9026"/>
      </w:tabs>
      <w:spacing w:after="0" w:line="240" w:lineRule="auto"/>
    </w:pPr>
  </w:style>
  <w:style w:type="character" w:customStyle="1" w:styleId="a4">
    <w:name w:val="页眉 字符"/>
    <w:basedOn w:val="a0"/>
    <w:link w:val="a3"/>
    <w:uiPriority w:val="99"/>
    <w:rsid w:val="00D10E69"/>
  </w:style>
  <w:style w:type="paragraph" w:styleId="a5">
    <w:name w:val="footer"/>
    <w:basedOn w:val="a"/>
    <w:link w:val="a6"/>
    <w:uiPriority w:val="99"/>
    <w:unhideWhenUsed/>
    <w:rsid w:val="00D10E69"/>
    <w:pPr>
      <w:tabs>
        <w:tab w:val="center" w:pos="4513"/>
        <w:tab w:val="right" w:pos="9026"/>
      </w:tabs>
      <w:spacing w:after="0" w:line="240" w:lineRule="auto"/>
    </w:pPr>
  </w:style>
  <w:style w:type="character" w:customStyle="1" w:styleId="a6">
    <w:name w:val="页脚 字符"/>
    <w:basedOn w:val="a0"/>
    <w:link w:val="a5"/>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2.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3.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398</Words>
  <Characters>2675</Characters>
  <Application>Microsoft Office Word</Application>
  <DocSecurity>0</DocSecurity>
  <Lines>38</Lines>
  <Paragraphs>16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Mingxi Liu</cp:lastModifiedBy>
  <cp:revision>51</cp:revision>
  <dcterms:created xsi:type="dcterms:W3CDTF">2026-02-04T06:37:00Z</dcterms:created>
  <dcterms:modified xsi:type="dcterms:W3CDTF">2026-04-29T02:12:00Z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