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56A75">
      <w:pPr>
        <w:pStyle w:val="12"/>
        <w:spacing w:before="0" w:after="0"/>
        <w:ind w:left="-119" w:right="-136" w:firstLine="119"/>
      </w:pPr>
      <w:r>
        <w:t>SIFF 2026</w:t>
      </w:r>
    </w:p>
    <w:p w14:paraId="2641CBEB">
      <w:pPr>
        <w:pStyle w:val="12"/>
        <w:spacing w:before="0" w:after="0"/>
        <w:ind w:left="-119" w:right="-136" w:firstLine="119"/>
      </w:pPr>
      <w:r>
        <w:t>Singapore International Food Forum 2026</w:t>
      </w:r>
      <w:r>
        <w:br w:type="textWrapping"/>
      </w:r>
    </w:p>
    <w:p w14:paraId="12B2FB47">
      <w:pPr>
        <w:pStyle w:val="11"/>
      </w:pPr>
      <w:r>
        <w:rPr>
          <w:rFonts w:hint="eastAsia"/>
        </w:rPr>
        <w:t>Molecular Design and Multi-Dimensional Valorization of Pumpkin Seed Protein: A Versatile Platform for Next-Generation Alternative Protein Systems</w:t>
      </w:r>
    </w:p>
    <w:p w14:paraId="136C1BE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-SA"/>
        </w:rPr>
        <w:t>Yan Kong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 w:bidi="ar-SA"/>
        </w:rPr>
        <w:t>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 w:bidi="ar-SA"/>
        </w:rPr>
        <w:t>, Dejian Huang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  <w:lang w:val="en-US" w:eastAsia="zh-CN" w:bidi="ar-SA"/>
        </w:rPr>
        <w:t>a,b</w:t>
      </w:r>
      <w:r>
        <w:rPr>
          <w:rFonts w:hint="eastAsia" w:ascii="Times New Roman" w:hAnsi="Times New Roman" w:eastAsia="等线" w:cs="Times New Roman"/>
          <w:kern w:val="2"/>
          <w:sz w:val="28"/>
          <w:szCs w:val="28"/>
          <w:vertAlign w:val="superscript"/>
          <w:lang w:val="en-US" w:eastAsia="zh-CN" w:bidi="ar"/>
        </w:rPr>
        <w:t>, *</w:t>
      </w:r>
    </w:p>
    <w:p w14:paraId="0C80ED53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652CE03F">
      <w:pPr>
        <w:pStyle w:val="8"/>
        <w:rPr>
          <w:iCs/>
        </w:rPr>
      </w:pPr>
      <w:r>
        <w:rPr>
          <w:vertAlign w:val="superscript"/>
          <w:lang w:val="nb-NO"/>
        </w:rPr>
        <w:t>a</w:t>
      </w:r>
      <w:r>
        <w:rPr>
          <w:lang w:val="nb-NO"/>
        </w:rPr>
        <w:t xml:space="preserve"> </w:t>
      </w:r>
      <w:r>
        <w:rPr>
          <w:rFonts w:hint="eastAsia"/>
          <w:lang w:val="nb-NO"/>
        </w:rPr>
        <w:t>National University of Singapore (Suzhou) Research Institute, 377 Lin Quan Street, Suzhou Industrial Park, Suzhou, Jiangsu 215123, China</w:t>
      </w:r>
    </w:p>
    <w:p w14:paraId="05A3C6FA">
      <w:pPr>
        <w:pStyle w:val="8"/>
        <w:spacing w:after="400"/>
        <w:rPr>
          <w:lang w:val="nb-NO" w:eastAsia="zh-CN"/>
        </w:rPr>
      </w:pPr>
      <w:r>
        <w:rPr>
          <w:vertAlign w:val="superscript"/>
          <w:lang w:val="nb-NO"/>
        </w:rPr>
        <w:t>b</w:t>
      </w:r>
      <w:r>
        <w:rPr>
          <w:lang w:val="nb-NO"/>
        </w:rPr>
        <w:t xml:space="preserve"> </w:t>
      </w:r>
      <w:r>
        <w:rPr>
          <w:rFonts w:hint="eastAsia"/>
          <w:lang w:val="nb-NO"/>
        </w:rPr>
        <w:t>Department of Food Science and Technology, 2 Science Drive 2, National University of Singapore, 117542, Singapore</w:t>
      </w:r>
    </w:p>
    <w:p w14:paraId="7715227C">
      <w:pPr>
        <w:pStyle w:val="6"/>
        <w:spacing w:before="120" w:after="0" w:line="240" w:lineRule="auto"/>
        <w:rPr>
          <w:sz w:val="20"/>
        </w:rPr>
      </w:pPr>
      <w:r>
        <w:rPr>
          <w:sz w:val="20"/>
        </w:rPr>
        <w:t>Abstract</w:t>
      </w:r>
    </w:p>
    <w:p w14:paraId="515674FD">
      <w:pPr>
        <w:rPr>
          <w:rFonts w:hint="eastAsia"/>
          <w:b w:val="0"/>
          <w:sz w:val="20"/>
        </w:rPr>
      </w:pPr>
    </w:p>
    <w:p w14:paraId="7687299F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/>
          <w:b w:val="0"/>
          <w:sz w:val="20"/>
        </w:rPr>
        <w:t>The intensifying global challenge in protein supply sustainability necessitates the development of high-fidelity and nutritious alternative protein systems. This study elucidates the multi-dimensional valorization of pumpkin seed protein (PSP) as a high-performance, low-carbon bio-based material. Derived from pumpkin seeds containing approximately 45% protein, PSP remains sub-optimally utilized despite its superior solubility and gelation compared to traditional legumes. We systematically analy</w:t>
      </w:r>
      <w:bookmarkStart w:id="0" w:name="_GoBack"/>
      <w:bookmarkEnd w:id="0"/>
      <w:r>
        <w:rPr>
          <w:rFonts w:hint="eastAsia"/>
          <w:b w:val="0"/>
          <w:sz w:val="20"/>
        </w:rPr>
        <w:t>zed the structure-function relationships of its major globulin, cucurbitin, and employed physical induction to drive structural remodeling for advanced food manufacturing. By engineering PSP-alginate hydrogels as sustainable gelatin mimics, we successfully simulated gelatin-like rheology and texture for 3D printing. Precision tuning of formulations (2–6% PSP and 2–3% alginate) modulated matrix mechanical properties, with hardness and chewiness increasing from 0.11 N to 1.46 N and 0.02 N to 0.99 N, respectively, significantly enhancing thermal stability and printing fidelity compared to animal gelatin</w:t>
      </w:r>
      <w:r>
        <w:rPr>
          <w:rFonts w:hint="eastAsia" w:eastAsia="宋体"/>
          <w:b w:val="0"/>
          <w:sz w:val="20"/>
          <w:lang w:val="en-US" w:eastAsia="zh-CN"/>
        </w:rPr>
        <w:t xml:space="preserve"> [1]</w:t>
      </w:r>
      <w:r>
        <w:rPr>
          <w:rFonts w:hint="eastAsia"/>
          <w:b w:val="0"/>
          <w:sz w:val="20"/>
        </w:rPr>
        <w:t>. Beyond texturization, the inherent Arg-Gly-Asp (RGD) motifs in PSP, which serve as key tripeptide sequences for mediating cell adhesion, were confirmed via protein sequencing. This unique molecular feature positions PSP as a superior extracellular matrix for cellular agriculture. Comparative analysis across 11 plant proteins revealed that PSP-coated microbeads exhibited exceptional cytoaffinity, stimulating a 17-fold proliferation of C2C12 cells within seven days. This performance was consistently validated across 3T3-L1 adipocytes and primary porcine myoblasts, matching the efficacy of animal gelatin</w:t>
      </w:r>
      <w:r>
        <w:rPr>
          <w:rFonts w:hint="eastAsia" w:eastAsia="宋体"/>
          <w:b w:val="0"/>
          <w:sz w:val="20"/>
          <w:lang w:val="en-US" w:eastAsia="zh-CN"/>
        </w:rPr>
        <w:t xml:space="preserve"> [2]</w:t>
      </w:r>
      <w:r>
        <w:rPr>
          <w:rFonts w:hint="eastAsia"/>
          <w:b w:val="0"/>
          <w:sz w:val="20"/>
        </w:rPr>
        <w:t>. Ultimately, optimizing these macromolecular interactions transitions PSP from a processing byproduct into a functional cornerstone of the circular bioeconomy, providing a roadmap for building next-generation sustainable food systems.</w:t>
      </w:r>
    </w:p>
    <w:p w14:paraId="0AE07FD0">
      <w:pPr>
        <w:pStyle w:val="17"/>
        <w:spacing w:after="120" w:line="240" w:lineRule="auto"/>
        <w:jc w:val="both"/>
        <w:rPr>
          <w:b/>
          <w:sz w:val="20"/>
        </w:rPr>
      </w:pPr>
      <w:r>
        <w:rPr>
          <w:b/>
          <w:sz w:val="20"/>
        </w:rPr>
        <w:t>References</w:t>
      </w:r>
    </w:p>
    <w:p w14:paraId="6911FF96">
      <w:pPr>
        <w:pStyle w:val="17"/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[1] </w:t>
      </w:r>
      <w:r>
        <w:rPr>
          <w:rFonts w:hint="eastAsia"/>
          <w:sz w:val="20"/>
        </w:rPr>
        <w:t>Kong, Y., Lin, S., Chen, S., Jing, L., Liu, Z., Wu, M., Yu, X., Fu, C., Wang, J., &amp; Huang, D. (2025). Pumpkin seed protein-based hydrogel as gelatin mimics and edible inks in 3D-Printed food. Food Hydrocolloids, 162, 111014. https://doi.org/10.1016/j.foodhyd.2024.111014.</w:t>
      </w:r>
    </w:p>
    <w:p w14:paraId="7BC67066">
      <w:pPr>
        <w:pStyle w:val="17"/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[2] </w:t>
      </w:r>
      <w:r>
        <w:rPr>
          <w:rFonts w:hint="eastAsia"/>
          <w:sz w:val="20"/>
        </w:rPr>
        <w:t>Kong, Y., &amp; Huang, D. (2023). Pumpkin seed proteins rival animal gelatin in increasing the cytoaffinity of edible microbeads for cell-based meat culture. Food Research International, 168, 112750. https://doi.org/10.1016/j.foodres.2023.112750.</w:t>
      </w:r>
      <w:r>
        <w:rPr>
          <w:sz w:val="20"/>
        </w:rPr>
        <w:t xml:space="preserve"> </w:t>
      </w:r>
    </w:p>
    <w:p w14:paraId="2650B410"/>
    <w:sectPr>
      <w:headerReference r:id="rId5" w:type="default"/>
      <w:footerReference r:id="rId6" w:type="default"/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5D731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2355A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05803"/>
    <w:multiLevelType w:val="multilevel"/>
    <w:tmpl w:val="56205803"/>
    <w:lvl w:ilvl="0" w:tentative="0">
      <w:start w:val="1"/>
      <w:numFmt w:val="decimal"/>
      <w:pStyle w:val="13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pStyle w:val="14"/>
      <w:suff w:val="space"/>
      <w:lvlText w:val="%1.%2."/>
      <w:lvlJc w:val="left"/>
      <w:pPr>
        <w:ind w:left="0" w:firstLine="0"/>
      </w:pPr>
    </w:lvl>
    <w:lvl w:ilvl="2" w:tentative="0">
      <w:start w:val="1"/>
      <w:numFmt w:val="decimal"/>
      <w:pStyle w:val="15"/>
      <w:suff w:val="space"/>
      <w:lvlText w:val="%1.%2.%3."/>
      <w:lvlJc w:val="left"/>
      <w:pPr>
        <w:ind w:left="0" w:firstLine="0"/>
      </w:pPr>
    </w:lvl>
    <w:lvl w:ilvl="3" w:tentative="0">
      <w:start w:val="1"/>
      <w:numFmt w:val="decimal"/>
      <w:pStyle w:val="16"/>
      <w:suff w:val="space"/>
      <w:lvlText w:val="%1.%2.%3.%4."/>
      <w:lvlJc w:val="left"/>
      <w:pPr>
        <w:ind w:left="0" w:firstLine="0"/>
      </w:p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 w:tentative="0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34209"/>
    <w:rsid w:val="002537DA"/>
    <w:rsid w:val="002A0A1C"/>
    <w:rsid w:val="002A2B3C"/>
    <w:rsid w:val="00372579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9C71BA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F55548"/>
    <w:rsid w:val="665C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nb-NO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1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6">
    <w:name w:val="Els-Abstract-head"/>
    <w:next w:val="1"/>
    <w:uiPriority w:val="0"/>
    <w:pPr>
      <w:keepNext/>
      <w:pBdr>
        <w:top w:val="single" w:color="auto" w:sz="4" w:space="10"/>
      </w:pBdr>
      <w:suppressAutoHyphens/>
      <w:spacing w:after="220" w:line="220" w:lineRule="exact"/>
    </w:pPr>
    <w:rPr>
      <w:rFonts w:ascii="Times New Roman" w:hAnsi="Times New Roman" w:eastAsia="宋体" w:cs="Times New Roman"/>
      <w:b/>
      <w:sz w:val="18"/>
      <w:szCs w:val="20"/>
      <w:lang w:val="en-US" w:eastAsia="en-US" w:bidi="ar-SA"/>
    </w:rPr>
  </w:style>
  <w:style w:type="paragraph" w:customStyle="1" w:styleId="7">
    <w:name w:val="Els-Abstract-text"/>
    <w:next w:val="1"/>
    <w:uiPriority w:val="0"/>
    <w:pPr>
      <w:spacing w:after="0" w:line="220" w:lineRule="exact"/>
      <w:jc w:val="both"/>
    </w:pPr>
    <w:rPr>
      <w:rFonts w:ascii="Times New Roman" w:hAnsi="Times New Roman" w:eastAsia="宋体" w:cs="Times New Roman"/>
      <w:sz w:val="18"/>
      <w:szCs w:val="20"/>
      <w:lang w:val="en-US" w:eastAsia="en-US" w:bidi="ar-SA"/>
    </w:rPr>
  </w:style>
  <w:style w:type="paragraph" w:customStyle="1" w:styleId="8">
    <w:name w:val="Els-Affiliation"/>
    <w:next w:val="6"/>
    <w:qFormat/>
    <w:uiPriority w:val="0"/>
    <w:pPr>
      <w:suppressAutoHyphens/>
      <w:spacing w:after="0" w:line="200" w:lineRule="exact"/>
      <w:jc w:val="center"/>
    </w:pPr>
    <w:rPr>
      <w:rFonts w:ascii="Times New Roman" w:hAnsi="Times New Roman" w:eastAsia="宋体" w:cs="Times New Roman"/>
      <w:i/>
      <w:sz w:val="16"/>
      <w:szCs w:val="20"/>
      <w:lang w:val="en-US" w:eastAsia="en-US" w:bidi="ar-SA"/>
    </w:rPr>
  </w:style>
  <w:style w:type="paragraph" w:customStyle="1" w:styleId="9">
    <w:name w:val="Els-Author"/>
    <w:next w:val="1"/>
    <w:qFormat/>
    <w:uiPriority w:val="0"/>
    <w:pPr>
      <w:keepNext/>
      <w:suppressAutoHyphens/>
      <w:spacing w:after="160" w:line="300" w:lineRule="exact"/>
      <w:jc w:val="center"/>
    </w:pPr>
    <w:rPr>
      <w:rFonts w:ascii="Times New Roman" w:hAnsi="Times New Roman" w:eastAsia="宋体" w:cs="Times New Roman"/>
      <w:sz w:val="26"/>
      <w:szCs w:val="20"/>
      <w:lang w:val="en-US" w:eastAsia="en-US" w:bidi="ar-SA"/>
    </w:rPr>
  </w:style>
  <w:style w:type="paragraph" w:customStyle="1" w:styleId="10">
    <w:name w:val="Els-footnote"/>
    <w:uiPriority w:val="0"/>
    <w:pPr>
      <w:keepLines/>
      <w:widowControl w:val="0"/>
      <w:spacing w:after="0" w:line="200" w:lineRule="exact"/>
      <w:ind w:firstLine="245"/>
      <w:jc w:val="both"/>
    </w:pPr>
    <w:rPr>
      <w:rFonts w:ascii="Times New Roman" w:hAnsi="Times New Roman" w:eastAsia="宋体" w:cs="Times New Roman"/>
      <w:sz w:val="16"/>
      <w:szCs w:val="20"/>
      <w:lang w:val="en-US" w:eastAsia="en-US" w:bidi="ar-SA"/>
    </w:rPr>
  </w:style>
  <w:style w:type="paragraph" w:customStyle="1" w:styleId="11">
    <w:name w:val="Els-Title"/>
    <w:next w:val="9"/>
    <w:autoRedefine/>
    <w:qFormat/>
    <w:uiPriority w:val="0"/>
    <w:pPr>
      <w:suppressAutoHyphens/>
      <w:spacing w:after="240" w:line="400" w:lineRule="exact"/>
      <w:jc w:val="center"/>
    </w:pPr>
    <w:rPr>
      <w:rFonts w:ascii="Times New Roman" w:hAnsi="Times New Roman" w:eastAsia="宋体" w:cs="Times New Roman"/>
      <w:sz w:val="32"/>
      <w:szCs w:val="32"/>
      <w:lang w:val="en-US" w:eastAsia="en-US" w:bidi="ar-SA"/>
    </w:rPr>
  </w:style>
  <w:style w:type="paragraph" w:customStyle="1" w:styleId="12">
    <w:name w:val="DocHead"/>
    <w:qFormat/>
    <w:uiPriority w:val="0"/>
    <w:pPr>
      <w:spacing w:before="240" w:after="240" w:line="240" w:lineRule="auto"/>
      <w:jc w:val="center"/>
    </w:pPr>
    <w:rPr>
      <w:rFonts w:ascii="Times New Roman" w:hAnsi="Times New Roman" w:eastAsia="宋体" w:cs="Times New Roman"/>
      <w:sz w:val="24"/>
      <w:szCs w:val="20"/>
      <w:lang w:val="en-US" w:eastAsia="en-US" w:bidi="ar-SA"/>
    </w:rPr>
  </w:style>
  <w:style w:type="paragraph" w:customStyle="1" w:styleId="13">
    <w:name w:val="Els-1storder-head"/>
    <w:next w:val="1"/>
    <w:qFormat/>
    <w:uiPriority w:val="0"/>
    <w:pPr>
      <w:keepNext/>
      <w:numPr>
        <w:ilvl w:val="0"/>
        <w:numId w:val="1"/>
      </w:numPr>
      <w:suppressAutoHyphens/>
      <w:spacing w:before="240" w:after="240" w:line="240" w:lineRule="exact"/>
    </w:pPr>
    <w:rPr>
      <w:rFonts w:ascii="Times New Roman" w:hAnsi="Times New Roman" w:eastAsia="宋体" w:cs="Times New Roman"/>
      <w:b/>
      <w:sz w:val="20"/>
      <w:szCs w:val="20"/>
      <w:lang w:val="en-US" w:eastAsia="en-US" w:bidi="ar-SA"/>
    </w:rPr>
  </w:style>
  <w:style w:type="paragraph" w:customStyle="1" w:styleId="14">
    <w:name w:val="Els-2ndorder-head"/>
    <w:next w:val="1"/>
    <w:qFormat/>
    <w:uiPriority w:val="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hAnsi="Times New Roman" w:eastAsia="宋体" w:cs="Times New Roman"/>
      <w:i/>
      <w:sz w:val="20"/>
      <w:szCs w:val="20"/>
      <w:lang w:val="en-US" w:eastAsia="en-US" w:bidi="ar-SA"/>
    </w:rPr>
  </w:style>
  <w:style w:type="paragraph" w:customStyle="1" w:styleId="15">
    <w:name w:val="Els-3rdorder-head"/>
    <w:next w:val="1"/>
    <w:qFormat/>
    <w:uiPriority w:val="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hAnsi="Times New Roman" w:eastAsia="宋体" w:cs="Times New Roman"/>
      <w:i/>
      <w:sz w:val="20"/>
      <w:szCs w:val="20"/>
      <w:lang w:val="en-US" w:eastAsia="en-US" w:bidi="ar-SA"/>
    </w:rPr>
  </w:style>
  <w:style w:type="paragraph" w:customStyle="1" w:styleId="16">
    <w:name w:val="Els-4thorder-head"/>
    <w:next w:val="1"/>
    <w:qFormat/>
    <w:uiPriority w:val="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hAnsi="Times New Roman" w:eastAsia="宋体" w:cs="Times New Roman"/>
      <w:i/>
      <w:sz w:val="20"/>
      <w:szCs w:val="20"/>
      <w:lang w:val="en-US" w:eastAsia="en-US" w:bidi="ar-SA"/>
    </w:rPr>
  </w:style>
  <w:style w:type="paragraph" w:customStyle="1" w:styleId="17">
    <w:name w:val="Els-keywords"/>
    <w:next w:val="1"/>
    <w:uiPriority w:val="0"/>
    <w:pPr>
      <w:pBdr>
        <w:bottom w:val="single" w:color="auto" w:sz="4" w:space="10"/>
      </w:pBdr>
      <w:spacing w:after="200" w:line="200" w:lineRule="exact"/>
    </w:pPr>
    <w:rPr>
      <w:rFonts w:ascii="Times New Roman" w:hAnsi="Times New Roman" w:eastAsia="宋体" w:cs="Times New Roman"/>
      <w:sz w:val="16"/>
      <w:szCs w:val="20"/>
      <w:lang w:val="en-US" w:eastAsia="en-US" w:bidi="ar-SA"/>
    </w:rPr>
  </w:style>
  <w:style w:type="character" w:customStyle="1" w:styleId="18">
    <w:name w:val="Header Char"/>
    <w:basedOn w:val="5"/>
    <w:link w:val="3"/>
    <w:uiPriority w:val="99"/>
  </w:style>
  <w:style w:type="character" w:customStyle="1" w:styleId="19">
    <w:name w:val="Footer Char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/>
</ds:datastoreItem>
</file>

<file path=customXml/itemProps2.xml><?xml version="1.0" encoding="utf-8"?>
<ds:datastoreItem xmlns:ds="http://schemas.openxmlformats.org/officeDocument/2006/customXml" ds:itemID="{726F0403-E370-494D-B765-20D2FD758934}">
  <ds:schemaRefs/>
</ds:datastoreItem>
</file>

<file path=customXml/itemProps3.xml><?xml version="1.0" encoding="utf-8"?>
<ds:datastoreItem xmlns:ds="http://schemas.openxmlformats.org/officeDocument/2006/customXml" ds:itemID="{136EFCDA-EE0B-4F8D-B7B2-B495F7F5CC5A}">
  <ds:schemaRefs/>
</ds:datastoreItem>
</file>

<file path=customXml/itemProps4.xml><?xml version="1.0" encoding="utf-8"?>
<ds:datastoreItem xmlns:ds="http://schemas.openxmlformats.org/officeDocument/2006/customXml" ds:itemID="{49A82A5F-72B7-4901-A265-423F78BF88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NTNU</Company>
  <Pages>1</Pages>
  <Words>183</Words>
  <Characters>1072</Characters>
  <Lines>8</Lines>
  <Paragraphs>2</Paragraphs>
  <TotalTime>24</TotalTime>
  <ScaleCrop>false</ScaleCrop>
  <LinksUpToDate>false</LinksUpToDate>
  <CharactersWithSpaces>1245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2026-02-04T06:37:00Z</dcterms:created>
  <dc:creator>Peter Karlsaune</dc:creator>
  <cp:lastModifiedBy>WPS_1691116906</cp:lastModifiedBy>
  <dcterms:modified xsi:type="dcterms:W3CDTF">2026-04-29T06:45:38Z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KSOTemplateDocerSaveRecord">
    <vt:lpwstr>eyJoZGlkIjoiZmJiNTM4NWVkNTJhMzU1NzRiMDMxYzYzYTRjN2FjZWMiLCJ1c2VySWQiOiIxNTE5MjQxMzQ3In0=</vt:lpwstr>
  </property>
  <property fmtid="{D5CDD505-2E9C-101B-9397-08002B2CF9AE}" pid="4" name="KSOProductBuildVer">
    <vt:lpwstr>2052-12.1.0.25225</vt:lpwstr>
  </property>
  <property fmtid="{D5CDD505-2E9C-101B-9397-08002B2CF9AE}" pid="5" name="ICV">
    <vt:lpwstr>7E50A41004A74C49BE35C9ABE1EB8DE0_12</vt:lpwstr>
  </property>
</Properties>
</file>