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7EF66E0E" w14:textId="27E3003F" w:rsidR="00D3354C" w:rsidRPr="00D3354C" w:rsidRDefault="00D3354C" w:rsidP="00673656">
      <w:pPr>
        <w:pStyle w:val="Els-Author"/>
        <w:ind w:right="2"/>
        <w:rPr>
          <w:rFonts w:eastAsia="Batang"/>
          <w:i/>
          <w:iCs/>
          <w:noProof w:val="0"/>
          <w:sz w:val="32"/>
          <w:szCs w:val="32"/>
          <w:lang w:val="nb-NO"/>
        </w:rPr>
      </w:pPr>
      <w:r w:rsidRPr="00D3354C">
        <w:rPr>
          <w:rFonts w:eastAsia="Batang"/>
          <w:noProof w:val="0"/>
          <w:sz w:val="32"/>
          <w:szCs w:val="32"/>
          <w:lang w:val="nb-NO"/>
        </w:rPr>
        <w:t>Anti-</w:t>
      </w:r>
      <w:proofErr w:type="spellStart"/>
      <w:r w:rsidR="005F7C48">
        <w:rPr>
          <w:rFonts w:eastAsia="Batang"/>
          <w:noProof w:val="0"/>
          <w:sz w:val="32"/>
          <w:szCs w:val="32"/>
          <w:lang w:val="nb-NO"/>
        </w:rPr>
        <w:t>b</w:t>
      </w:r>
      <w:r w:rsidRPr="00D3354C">
        <w:rPr>
          <w:rFonts w:eastAsia="Batang"/>
          <w:noProof w:val="0"/>
          <w:sz w:val="32"/>
          <w:szCs w:val="32"/>
          <w:lang w:val="nb-NO"/>
        </w:rPr>
        <w:t>iofilm</w:t>
      </w:r>
      <w:proofErr w:type="spellEnd"/>
      <w:r w:rsidRPr="00D3354C">
        <w:rPr>
          <w:rFonts w:eastAsia="Batang"/>
          <w:noProof w:val="0"/>
          <w:sz w:val="32"/>
          <w:szCs w:val="32"/>
          <w:lang w:val="nb-NO"/>
        </w:rPr>
        <w:t xml:space="preserve"> </w:t>
      </w:r>
      <w:proofErr w:type="spellStart"/>
      <w:r w:rsidR="006E5C08">
        <w:rPr>
          <w:rFonts w:eastAsia="Batang"/>
          <w:noProof w:val="0"/>
          <w:sz w:val="32"/>
          <w:szCs w:val="32"/>
          <w:lang w:val="nb-NO"/>
        </w:rPr>
        <w:t>p</w:t>
      </w:r>
      <w:r w:rsidRPr="00D3354C">
        <w:rPr>
          <w:rFonts w:eastAsia="Batang"/>
          <w:noProof w:val="0"/>
          <w:sz w:val="32"/>
          <w:szCs w:val="32"/>
          <w:lang w:val="nb-NO"/>
        </w:rPr>
        <w:t>otential</w:t>
      </w:r>
      <w:proofErr w:type="spellEnd"/>
      <w:r w:rsidRPr="00D3354C">
        <w:rPr>
          <w:rFonts w:eastAsia="Batang"/>
          <w:noProof w:val="0"/>
          <w:sz w:val="32"/>
          <w:szCs w:val="32"/>
          <w:lang w:val="nb-NO"/>
        </w:rPr>
        <w:t xml:space="preserve"> </w:t>
      </w:r>
      <w:proofErr w:type="spellStart"/>
      <w:r w:rsidRPr="00D3354C">
        <w:rPr>
          <w:rFonts w:eastAsia="Batang"/>
          <w:noProof w:val="0"/>
          <w:sz w:val="32"/>
          <w:szCs w:val="32"/>
          <w:lang w:val="nb-NO"/>
        </w:rPr>
        <w:t>of</w:t>
      </w:r>
      <w:proofErr w:type="spellEnd"/>
      <w:r w:rsidRPr="00D3354C">
        <w:rPr>
          <w:rFonts w:eastAsia="Batang"/>
          <w:noProof w:val="0"/>
          <w:sz w:val="32"/>
          <w:szCs w:val="32"/>
          <w:lang w:val="nb-NO"/>
        </w:rPr>
        <w:t xml:space="preserve"> a </w:t>
      </w:r>
      <w:r w:rsidR="006E5C08">
        <w:rPr>
          <w:rFonts w:eastAsia="Batang"/>
          <w:noProof w:val="0"/>
          <w:sz w:val="32"/>
          <w:szCs w:val="32"/>
          <w:lang w:val="nb-NO"/>
        </w:rPr>
        <w:t>v</w:t>
      </w:r>
      <w:r w:rsidRPr="00D3354C">
        <w:rPr>
          <w:rFonts w:eastAsia="Batang"/>
          <w:noProof w:val="0"/>
          <w:sz w:val="32"/>
          <w:szCs w:val="32"/>
          <w:lang w:val="nb-NO"/>
        </w:rPr>
        <w:t>isible-</w:t>
      </w:r>
      <w:proofErr w:type="spellStart"/>
      <w:r w:rsidR="006E5C08">
        <w:rPr>
          <w:rFonts w:eastAsia="Batang"/>
          <w:noProof w:val="0"/>
          <w:sz w:val="32"/>
          <w:szCs w:val="32"/>
          <w:lang w:val="nb-NO"/>
        </w:rPr>
        <w:t>l</w:t>
      </w:r>
      <w:r w:rsidRPr="00D3354C">
        <w:rPr>
          <w:rFonts w:eastAsia="Batang"/>
          <w:noProof w:val="0"/>
          <w:sz w:val="32"/>
          <w:szCs w:val="32"/>
          <w:lang w:val="nb-NO"/>
        </w:rPr>
        <w:t>ight</w:t>
      </w:r>
      <w:proofErr w:type="spellEnd"/>
      <w:r w:rsidRPr="00D3354C">
        <w:rPr>
          <w:rFonts w:eastAsia="Batang"/>
          <w:noProof w:val="0"/>
          <w:sz w:val="32"/>
          <w:szCs w:val="32"/>
          <w:lang w:val="nb-NO"/>
        </w:rPr>
        <w:t>-</w:t>
      </w:r>
      <w:proofErr w:type="spellStart"/>
      <w:r w:rsidR="006E5C08">
        <w:rPr>
          <w:rFonts w:eastAsia="Batang"/>
          <w:noProof w:val="0"/>
          <w:sz w:val="32"/>
          <w:szCs w:val="32"/>
          <w:lang w:val="nb-NO"/>
        </w:rPr>
        <w:t>a</w:t>
      </w:r>
      <w:r w:rsidRPr="00D3354C">
        <w:rPr>
          <w:rFonts w:eastAsia="Batang"/>
          <w:noProof w:val="0"/>
          <w:sz w:val="32"/>
          <w:szCs w:val="32"/>
          <w:lang w:val="nb-NO"/>
        </w:rPr>
        <w:t>ctivated</w:t>
      </w:r>
      <w:proofErr w:type="spellEnd"/>
      <w:r w:rsidRPr="00D3354C">
        <w:rPr>
          <w:rFonts w:eastAsia="Batang"/>
          <w:noProof w:val="0"/>
          <w:sz w:val="32"/>
          <w:szCs w:val="32"/>
          <w:lang w:val="nb-NO"/>
        </w:rPr>
        <w:t xml:space="preserve"> </w:t>
      </w:r>
      <w:proofErr w:type="spellStart"/>
      <w:r w:rsidR="006E5C08">
        <w:rPr>
          <w:rFonts w:eastAsia="Batang"/>
          <w:noProof w:val="0"/>
          <w:sz w:val="32"/>
          <w:szCs w:val="32"/>
          <w:lang w:val="nb-NO"/>
        </w:rPr>
        <w:t>t</w:t>
      </w:r>
      <w:r w:rsidRPr="00D3354C">
        <w:rPr>
          <w:rFonts w:eastAsia="Batang"/>
          <w:noProof w:val="0"/>
          <w:sz w:val="32"/>
          <w:szCs w:val="32"/>
          <w:lang w:val="nb-NO"/>
        </w:rPr>
        <w:t>ungsten</w:t>
      </w:r>
      <w:proofErr w:type="spellEnd"/>
      <w:r w:rsidRPr="00D3354C">
        <w:rPr>
          <w:rFonts w:eastAsia="Batang"/>
          <w:noProof w:val="0"/>
          <w:sz w:val="32"/>
          <w:szCs w:val="32"/>
          <w:lang w:val="nb-NO"/>
        </w:rPr>
        <w:t xml:space="preserve"> </w:t>
      </w:r>
      <w:proofErr w:type="spellStart"/>
      <w:r w:rsidR="006E5C08">
        <w:rPr>
          <w:rFonts w:eastAsia="Batang"/>
          <w:noProof w:val="0"/>
          <w:sz w:val="32"/>
          <w:szCs w:val="32"/>
          <w:lang w:val="nb-NO"/>
        </w:rPr>
        <w:t>t</w:t>
      </w:r>
      <w:r w:rsidRPr="00D3354C">
        <w:rPr>
          <w:rFonts w:eastAsia="Batang"/>
          <w:noProof w:val="0"/>
          <w:sz w:val="32"/>
          <w:szCs w:val="32"/>
          <w:lang w:val="nb-NO"/>
        </w:rPr>
        <w:t>rioxide-</w:t>
      </w:r>
      <w:r w:rsidR="006E5C08">
        <w:rPr>
          <w:rFonts w:eastAsia="Batang"/>
          <w:noProof w:val="0"/>
          <w:sz w:val="32"/>
          <w:szCs w:val="32"/>
          <w:lang w:val="nb-NO"/>
        </w:rPr>
        <w:t>b</w:t>
      </w:r>
      <w:r w:rsidRPr="00D3354C">
        <w:rPr>
          <w:rFonts w:eastAsia="Batang"/>
          <w:noProof w:val="0"/>
          <w:sz w:val="32"/>
          <w:szCs w:val="32"/>
          <w:lang w:val="nb-NO"/>
        </w:rPr>
        <w:t>ased</w:t>
      </w:r>
      <w:proofErr w:type="spellEnd"/>
      <w:r w:rsidRPr="00D3354C">
        <w:rPr>
          <w:rFonts w:eastAsia="Batang"/>
          <w:noProof w:val="0"/>
          <w:sz w:val="32"/>
          <w:szCs w:val="32"/>
          <w:lang w:val="nb-NO"/>
        </w:rPr>
        <w:t xml:space="preserve"> </w:t>
      </w:r>
      <w:proofErr w:type="spellStart"/>
      <w:r w:rsidR="006E5C08">
        <w:rPr>
          <w:rFonts w:eastAsia="Batang"/>
          <w:noProof w:val="0"/>
          <w:sz w:val="32"/>
          <w:szCs w:val="32"/>
          <w:lang w:val="nb-NO"/>
        </w:rPr>
        <w:t>p</w:t>
      </w:r>
      <w:r w:rsidRPr="00D3354C">
        <w:rPr>
          <w:rFonts w:eastAsia="Batang"/>
          <w:noProof w:val="0"/>
          <w:sz w:val="32"/>
          <w:szCs w:val="32"/>
          <w:lang w:val="nb-NO"/>
        </w:rPr>
        <w:t>hotocatalyst</w:t>
      </w:r>
      <w:proofErr w:type="spellEnd"/>
      <w:r w:rsidRPr="00D3354C">
        <w:rPr>
          <w:rFonts w:eastAsia="Batang"/>
          <w:noProof w:val="0"/>
          <w:sz w:val="32"/>
          <w:szCs w:val="32"/>
          <w:lang w:val="nb-NO"/>
        </w:rPr>
        <w:t xml:space="preserve"> (NEP6) </w:t>
      </w:r>
      <w:proofErr w:type="spellStart"/>
      <w:r w:rsidR="006E5C08">
        <w:rPr>
          <w:rFonts w:eastAsia="Batang"/>
          <w:noProof w:val="0"/>
          <w:sz w:val="32"/>
          <w:szCs w:val="32"/>
          <w:lang w:val="nb-NO"/>
        </w:rPr>
        <w:t>a</w:t>
      </w:r>
      <w:r w:rsidRPr="00D3354C">
        <w:rPr>
          <w:rFonts w:eastAsia="Batang"/>
          <w:noProof w:val="0"/>
          <w:sz w:val="32"/>
          <w:szCs w:val="32"/>
          <w:lang w:val="nb-NO"/>
        </w:rPr>
        <w:t>gainst</w:t>
      </w:r>
      <w:proofErr w:type="spellEnd"/>
      <w:r w:rsidRPr="00D3354C">
        <w:rPr>
          <w:rFonts w:eastAsia="Batang"/>
          <w:noProof w:val="0"/>
          <w:sz w:val="32"/>
          <w:szCs w:val="32"/>
          <w:lang w:val="nb-NO"/>
        </w:rPr>
        <w:t xml:space="preserve"> </w:t>
      </w:r>
      <w:proofErr w:type="spellStart"/>
      <w:r w:rsidRPr="00D3354C">
        <w:rPr>
          <w:rFonts w:eastAsia="Batang"/>
          <w:i/>
          <w:iCs/>
          <w:noProof w:val="0"/>
          <w:sz w:val="32"/>
          <w:szCs w:val="32"/>
          <w:lang w:val="nb-NO"/>
        </w:rPr>
        <w:t>Listeria</w:t>
      </w:r>
      <w:proofErr w:type="spellEnd"/>
      <w:r w:rsidRPr="00D3354C">
        <w:rPr>
          <w:rFonts w:eastAsia="Batang"/>
          <w:i/>
          <w:iCs/>
          <w:noProof w:val="0"/>
          <w:sz w:val="32"/>
          <w:szCs w:val="32"/>
          <w:lang w:val="nb-NO"/>
        </w:rPr>
        <w:t xml:space="preserve"> monocytogenes</w:t>
      </w:r>
    </w:p>
    <w:p w14:paraId="5E774EED" w14:textId="60F0C643" w:rsidR="00673656" w:rsidRPr="00115B5C" w:rsidRDefault="00A46220" w:rsidP="00673656">
      <w:pPr>
        <w:pStyle w:val="Els-Author"/>
        <w:ind w:right="2"/>
        <w:rPr>
          <w:rFonts w:eastAsia="Malgun Gothic"/>
          <w:sz w:val="24"/>
          <w:szCs w:val="24"/>
          <w:lang w:eastAsia="ko-KR"/>
        </w:rPr>
      </w:pPr>
      <w:r>
        <w:rPr>
          <w:rFonts w:eastAsia="Malgun Gothic"/>
          <w:sz w:val="24"/>
          <w:szCs w:val="24"/>
          <w:lang w:val="nb-NO" w:eastAsia="ko-KR"/>
        </w:rPr>
        <w:t>Vinothini Boopathi</w:t>
      </w:r>
      <w:r w:rsidR="00C67487" w:rsidRPr="009C71BA">
        <w:rPr>
          <w:sz w:val="24"/>
          <w:szCs w:val="24"/>
          <w:vertAlign w:val="superscript"/>
          <w:lang w:val="nb-NO"/>
        </w:rPr>
        <w:t>a</w:t>
      </w:r>
      <w:r w:rsidR="00673656" w:rsidRPr="009C71BA">
        <w:rPr>
          <w:sz w:val="24"/>
          <w:szCs w:val="24"/>
          <w:lang w:val="nb-NO"/>
        </w:rPr>
        <w:t xml:space="preserve">, </w:t>
      </w:r>
      <w:r w:rsidR="00115B5C">
        <w:rPr>
          <w:rFonts w:eastAsia="Malgun Gothic" w:hint="eastAsia"/>
          <w:sz w:val="24"/>
          <w:szCs w:val="24"/>
          <w:lang w:val="nb-NO" w:eastAsia="ko-KR"/>
        </w:rPr>
        <w:t>Hyun-Gyun Yuk</w:t>
      </w:r>
      <w:r w:rsidR="00115B5C">
        <w:rPr>
          <w:rFonts w:eastAsia="Malgun Gothic" w:hint="eastAsia"/>
          <w:sz w:val="24"/>
          <w:szCs w:val="24"/>
          <w:vertAlign w:val="superscript"/>
          <w:lang w:val="nb-NO" w:eastAsia="ko-KR"/>
        </w:rPr>
        <w:t>a*</w:t>
      </w:r>
    </w:p>
    <w:p w14:paraId="5342D5C1" w14:textId="221BB0DE" w:rsidR="00673656" w:rsidRPr="00673656" w:rsidRDefault="00673656" w:rsidP="00431340">
      <w:pPr>
        <w:pStyle w:val="Els-Author"/>
        <w:ind w:right="2"/>
        <w:rPr>
          <w:sz w:val="28"/>
          <w:szCs w:val="28"/>
        </w:rPr>
        <w:sectPr w:rsidR="00673656" w:rsidRPr="00673656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5A3C6FA" w14:textId="59FF1EC6" w:rsidR="00431340" w:rsidRPr="00115B5C" w:rsidRDefault="004C7508" w:rsidP="00115B5C">
      <w:pPr>
        <w:pStyle w:val="Els-Affiliation"/>
        <w:rPr>
          <w:rFonts w:eastAsia="Malgun Gothic"/>
          <w:lang w:eastAsia="ko-KR"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 w:rsidR="00115B5C" w:rsidRPr="00115B5C">
        <w:rPr>
          <w:lang w:val="nb-NO"/>
        </w:rPr>
        <w:t>Department of Food Science and Biotechnology, Chung-Ang University, Anseong, Gyeonggi 17546, Republic of Korea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79DD1DCF" w14:textId="35F33FFC" w:rsidR="00AF135E" w:rsidRPr="00AF135E" w:rsidRDefault="00AF135E" w:rsidP="00AF135E">
      <w:pPr>
        <w:pStyle w:val="NormalWeb"/>
        <w:jc w:val="both"/>
        <w:rPr>
          <w:sz w:val="20"/>
          <w:szCs w:val="20"/>
        </w:rPr>
      </w:pPr>
      <w:r w:rsidRPr="00AF135E">
        <w:rPr>
          <w:sz w:val="20"/>
          <w:szCs w:val="20"/>
        </w:rPr>
        <w:t xml:space="preserve">Biofilm formation by </w:t>
      </w:r>
      <w:r w:rsidRPr="00AF135E">
        <w:rPr>
          <w:rStyle w:val="Emphasis"/>
          <w:sz w:val="20"/>
          <w:szCs w:val="20"/>
        </w:rPr>
        <w:t>L. monocytogenes</w:t>
      </w:r>
      <w:r w:rsidRPr="00AF135E">
        <w:rPr>
          <w:sz w:val="20"/>
          <w:szCs w:val="20"/>
        </w:rPr>
        <w:t xml:space="preserve"> in food processing </w:t>
      </w:r>
      <w:r w:rsidR="00755B34">
        <w:rPr>
          <w:sz w:val="20"/>
          <w:szCs w:val="20"/>
        </w:rPr>
        <w:t xml:space="preserve">and storage </w:t>
      </w:r>
      <w:r w:rsidRPr="00AF135E">
        <w:rPr>
          <w:sz w:val="20"/>
          <w:szCs w:val="20"/>
        </w:rPr>
        <w:t>environments remains a major challenge because of its persistence and tolerance to conventional sanitation strategies</w:t>
      </w:r>
      <w:r w:rsidR="002F3A8D">
        <w:rPr>
          <w:sz w:val="20"/>
          <w:szCs w:val="20"/>
        </w:rPr>
        <w:t xml:space="preserve"> [1,2]</w:t>
      </w:r>
      <w:r w:rsidRPr="00AF135E">
        <w:rPr>
          <w:sz w:val="20"/>
          <w:szCs w:val="20"/>
        </w:rPr>
        <w:t>. This study investigated the anti-biofilm potential of a visible-light-activated tungsten trioxide-based photocatalyst, NEP6, under 405 nm LED i</w:t>
      </w:r>
      <w:r w:rsidR="00755B34">
        <w:rPr>
          <w:sz w:val="20"/>
          <w:szCs w:val="20"/>
        </w:rPr>
        <w:t>llumination</w:t>
      </w:r>
      <w:r w:rsidR="002F3A8D">
        <w:rPr>
          <w:sz w:val="20"/>
          <w:szCs w:val="20"/>
        </w:rPr>
        <w:t xml:space="preserve"> [3-5]</w:t>
      </w:r>
      <w:r w:rsidRPr="00AF135E">
        <w:rPr>
          <w:sz w:val="20"/>
          <w:szCs w:val="20"/>
        </w:rPr>
        <w:t xml:space="preserve">. The photocatalyst formulation consisted of a tungsten trioxide-based photocatalyst (QB22), a silica-acrylate coating matrix (SC1120), and TPO photoinitiator. NEP6 was evaluated as a surface coating at concentrations ranging from 0 to 1.0 wt% for inhibition of early biofilm development. As an initial screening step, 24 </w:t>
      </w:r>
      <w:r w:rsidRPr="00AF135E">
        <w:rPr>
          <w:rStyle w:val="Emphasis"/>
          <w:sz w:val="20"/>
          <w:szCs w:val="20"/>
        </w:rPr>
        <w:t>L. monocytogenes</w:t>
      </w:r>
      <w:r w:rsidRPr="00AF135E">
        <w:rPr>
          <w:sz w:val="20"/>
          <w:szCs w:val="20"/>
        </w:rPr>
        <w:t xml:space="preserve"> strains were evaluated for biofilm-forming ability in 10-fold diluted brain heart infusion</w:t>
      </w:r>
      <w:r w:rsidR="00755B34">
        <w:rPr>
          <w:sz w:val="20"/>
          <w:szCs w:val="20"/>
        </w:rPr>
        <w:t xml:space="preserve"> (BHI)</w:t>
      </w:r>
      <w:r w:rsidRPr="00AF135E">
        <w:rPr>
          <w:sz w:val="20"/>
          <w:szCs w:val="20"/>
        </w:rPr>
        <w:t xml:space="preserve"> broth using crystal violet assay, with confirmation by viable cell enumeration. Among the strains screened, </w:t>
      </w:r>
      <w:r w:rsidRPr="00AF135E">
        <w:rPr>
          <w:rStyle w:val="Emphasis"/>
          <w:sz w:val="20"/>
          <w:szCs w:val="20"/>
        </w:rPr>
        <w:t>L. monocytogenes</w:t>
      </w:r>
      <w:r w:rsidRPr="00AF135E">
        <w:rPr>
          <w:sz w:val="20"/>
          <w:szCs w:val="20"/>
        </w:rPr>
        <w:t xml:space="preserve"> BAA-676 exhibited the strongest biofilm formation, whereas strain 13932 showed the weakest, and both were selected as representative strong and weak biofilm-forming strains for comparative anti-biofilm evaluation. The anti-biofilm activity of NEP6 was further assessed under different </w:t>
      </w:r>
      <w:r w:rsidR="00755B34">
        <w:rPr>
          <w:sz w:val="20"/>
          <w:szCs w:val="20"/>
        </w:rPr>
        <w:t>illumination</w:t>
      </w:r>
      <w:r w:rsidRPr="00AF135E">
        <w:rPr>
          <w:sz w:val="20"/>
          <w:szCs w:val="20"/>
        </w:rPr>
        <w:t xml:space="preserve"> distances (5, 10, and 15 cm) and temperatures (10 and 25°C) during 48 h early biofilm development. </w:t>
      </w:r>
      <w:r w:rsidR="00755B34">
        <w:rPr>
          <w:sz w:val="20"/>
          <w:szCs w:val="20"/>
        </w:rPr>
        <w:t>R</w:t>
      </w:r>
      <w:r w:rsidRPr="00AF135E">
        <w:rPr>
          <w:sz w:val="20"/>
          <w:szCs w:val="20"/>
        </w:rPr>
        <w:t>esults indicate that visible-light-activated NEP6 inhibit</w:t>
      </w:r>
      <w:r w:rsidR="00FC3161">
        <w:rPr>
          <w:sz w:val="20"/>
          <w:szCs w:val="20"/>
        </w:rPr>
        <w:t>ed</w:t>
      </w:r>
      <w:r w:rsidRPr="00AF135E">
        <w:rPr>
          <w:sz w:val="20"/>
          <w:szCs w:val="20"/>
        </w:rPr>
        <w:t xml:space="preserve"> early biofilm development and enhance</w:t>
      </w:r>
      <w:r w:rsidR="00FC3161">
        <w:rPr>
          <w:sz w:val="20"/>
          <w:szCs w:val="20"/>
        </w:rPr>
        <w:t>d</w:t>
      </w:r>
      <w:r w:rsidRPr="00AF135E">
        <w:rPr>
          <w:sz w:val="20"/>
          <w:szCs w:val="20"/>
        </w:rPr>
        <w:t xml:space="preserve"> the anti-biofilm efficacy of LED treatment under selected conditions, indicating improved biofilm control compared with LED </w:t>
      </w:r>
      <w:r w:rsidR="00FC3161">
        <w:rPr>
          <w:sz w:val="20"/>
          <w:szCs w:val="20"/>
        </w:rPr>
        <w:t xml:space="preserve">illumination </w:t>
      </w:r>
      <w:r w:rsidRPr="00AF135E">
        <w:rPr>
          <w:sz w:val="20"/>
          <w:szCs w:val="20"/>
        </w:rPr>
        <w:t>alone through surface-associated photocatalytic activity</w:t>
      </w:r>
      <w:r w:rsidR="002F3A8D">
        <w:rPr>
          <w:sz w:val="20"/>
          <w:szCs w:val="20"/>
        </w:rPr>
        <w:t xml:space="preserve"> [3-5]</w:t>
      </w:r>
      <w:r w:rsidRPr="00AF135E">
        <w:rPr>
          <w:sz w:val="20"/>
          <w:szCs w:val="20"/>
        </w:rPr>
        <w:t xml:space="preserve">. These findings demonstrate the potential of visible-light-activated photocatalytic coatings as a promising light-assisted strategy for controlling </w:t>
      </w:r>
      <w:r w:rsidRPr="00AF135E">
        <w:rPr>
          <w:rStyle w:val="Emphasis"/>
          <w:sz w:val="20"/>
          <w:szCs w:val="20"/>
        </w:rPr>
        <w:t>L. monocytogenes</w:t>
      </w:r>
      <w:r w:rsidRPr="00AF135E">
        <w:rPr>
          <w:sz w:val="20"/>
          <w:szCs w:val="20"/>
        </w:rPr>
        <w:t xml:space="preserve"> biofilms</w:t>
      </w:r>
      <w:r w:rsidR="00FC3161">
        <w:rPr>
          <w:sz w:val="20"/>
          <w:szCs w:val="20"/>
        </w:rPr>
        <w:t xml:space="preserve"> on food contact surfaces</w:t>
      </w:r>
      <w:r w:rsidRPr="00AF135E">
        <w:rPr>
          <w:sz w:val="20"/>
          <w:szCs w:val="20"/>
        </w:rPr>
        <w:t>.</w:t>
      </w:r>
    </w:p>
    <w:p w14:paraId="0AE07FD0" w14:textId="77777777" w:rsidR="002A0A1C" w:rsidRPr="00C67487" w:rsidRDefault="002A0A1C" w:rsidP="00665C88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01B83EBA" w14:textId="0B80D12F" w:rsidR="004449E4" w:rsidRPr="004449E4" w:rsidRDefault="002A0A1C" w:rsidP="004449E4">
      <w:pPr>
        <w:pStyle w:val="Els-keywords"/>
        <w:spacing w:after="120" w:line="240" w:lineRule="auto"/>
        <w:rPr>
          <w:rFonts w:eastAsia="Malgun Gothic"/>
          <w:sz w:val="20"/>
          <w:lang w:val="nb-NO" w:eastAsia="ko-KR"/>
        </w:rPr>
      </w:pPr>
      <w:r w:rsidRPr="00C67487">
        <w:rPr>
          <w:sz w:val="20"/>
        </w:rPr>
        <w:t xml:space="preserve">[1] </w:t>
      </w:r>
      <w:r w:rsidR="00D7389A" w:rsidRPr="00D7389A">
        <w:rPr>
          <w:sz w:val="20"/>
        </w:rPr>
        <w:t xml:space="preserve">Carpentier, B., &amp; Cerf, O. (2011). Persistence of </w:t>
      </w:r>
      <w:r w:rsidR="00D7389A" w:rsidRPr="002E01CE">
        <w:rPr>
          <w:i/>
          <w:iCs/>
          <w:sz w:val="20"/>
        </w:rPr>
        <w:t>Listeria monocytogenes</w:t>
      </w:r>
      <w:r w:rsidR="00D7389A" w:rsidRPr="00D7389A">
        <w:rPr>
          <w:sz w:val="20"/>
        </w:rPr>
        <w:t xml:space="preserve"> in food industry equipment and premises. </w:t>
      </w:r>
      <w:r w:rsidR="00D7389A" w:rsidRPr="002E01CE">
        <w:rPr>
          <w:i/>
          <w:iCs/>
          <w:sz w:val="20"/>
        </w:rPr>
        <w:t>International journal of food microbiology</w:t>
      </w:r>
      <w:r w:rsidR="00D7389A" w:rsidRPr="00D7389A">
        <w:rPr>
          <w:sz w:val="20"/>
        </w:rPr>
        <w:t>, 145(1), 1-8.</w:t>
      </w:r>
    </w:p>
    <w:p w14:paraId="1C8BCFAC" w14:textId="0A27FBA3" w:rsidR="00D7389A" w:rsidRDefault="004449E4" w:rsidP="0078067E">
      <w:pPr>
        <w:pStyle w:val="Els-keywords"/>
        <w:spacing w:after="120" w:line="240" w:lineRule="auto"/>
        <w:rPr>
          <w:rFonts w:eastAsia="Malgun Gothic"/>
          <w:sz w:val="20"/>
          <w:lang w:val="nb-NO" w:eastAsia="ko-KR"/>
        </w:rPr>
      </w:pPr>
      <w:r w:rsidRPr="004449E4">
        <w:rPr>
          <w:rFonts w:eastAsia="Malgun Gothic"/>
          <w:sz w:val="20"/>
          <w:lang w:val="nb-NO" w:eastAsia="ko-KR"/>
        </w:rPr>
        <w:t xml:space="preserve">[2] </w:t>
      </w:r>
      <w:r w:rsidR="00213623" w:rsidRPr="00213623">
        <w:rPr>
          <w:rFonts w:eastAsia="Malgun Gothic"/>
          <w:sz w:val="20"/>
          <w:lang w:val="nb-NO" w:eastAsia="ko-KR"/>
        </w:rPr>
        <w:t xml:space="preserve">Giaouris, E., Heir, E., Hébraud, M., Chorianopoulos, N., Langsrud, S., Møretrø, T., ... &amp; Nychas, G. J. (2014). Attachment and biofilm formation by foodborne bacteria in meat processing environments: causes, implications, role of bacterial interactions and control by alternative novel methods. </w:t>
      </w:r>
      <w:r w:rsidR="00213623" w:rsidRPr="002E01CE">
        <w:rPr>
          <w:rFonts w:eastAsia="Malgun Gothic"/>
          <w:i/>
          <w:iCs/>
          <w:sz w:val="20"/>
          <w:lang w:val="nb-NO" w:eastAsia="ko-KR"/>
        </w:rPr>
        <w:t>Meat science</w:t>
      </w:r>
      <w:r w:rsidR="00213623" w:rsidRPr="00213623">
        <w:rPr>
          <w:rFonts w:eastAsia="Malgun Gothic"/>
          <w:sz w:val="20"/>
          <w:lang w:val="nb-NO" w:eastAsia="ko-KR"/>
        </w:rPr>
        <w:t>, 97(3), 298-309.</w:t>
      </w:r>
    </w:p>
    <w:p w14:paraId="0978C5CA" w14:textId="25752305" w:rsidR="004449E4" w:rsidRDefault="00D7389A" w:rsidP="0078067E">
      <w:pPr>
        <w:pStyle w:val="Els-keywords"/>
        <w:spacing w:after="120" w:line="240" w:lineRule="auto"/>
        <w:rPr>
          <w:rFonts w:eastAsia="Malgun Gothic"/>
          <w:sz w:val="20"/>
          <w:lang w:eastAsia="ko-KR"/>
        </w:rPr>
      </w:pPr>
      <w:r>
        <w:rPr>
          <w:rFonts w:eastAsia="Malgun Gothic"/>
          <w:sz w:val="20"/>
          <w:lang w:val="nb-NO" w:eastAsia="ko-KR"/>
        </w:rPr>
        <w:t xml:space="preserve">[3] </w:t>
      </w:r>
      <w:r w:rsidRPr="00D7389A">
        <w:rPr>
          <w:rFonts w:eastAsia="Malgun Gothic"/>
          <w:sz w:val="20"/>
          <w:lang w:val="nb-NO" w:eastAsia="ko-KR"/>
        </w:rPr>
        <w:t xml:space="preserve">Endarko, E., Maclean, M., Timoshkin, I. V., MacGregor, S. J., &amp; Anderson, J. G. (2012). High‐intensity 405 nm light inactivation of </w:t>
      </w:r>
      <w:r w:rsidRPr="002E01CE">
        <w:rPr>
          <w:rFonts w:eastAsia="Malgun Gothic"/>
          <w:i/>
          <w:iCs/>
          <w:sz w:val="20"/>
          <w:lang w:val="nb-NO" w:eastAsia="ko-KR"/>
        </w:rPr>
        <w:t>Listeria monocytogenes</w:t>
      </w:r>
      <w:r w:rsidRPr="00D7389A">
        <w:rPr>
          <w:rFonts w:eastAsia="Malgun Gothic"/>
          <w:sz w:val="20"/>
          <w:lang w:val="nb-NO" w:eastAsia="ko-KR"/>
        </w:rPr>
        <w:t xml:space="preserve">. </w:t>
      </w:r>
      <w:r w:rsidRPr="002E01CE">
        <w:rPr>
          <w:rFonts w:eastAsia="Malgun Gothic"/>
          <w:i/>
          <w:iCs/>
          <w:sz w:val="20"/>
          <w:lang w:val="nb-NO" w:eastAsia="ko-KR"/>
        </w:rPr>
        <w:t>Photochemistry and photobiology</w:t>
      </w:r>
      <w:r w:rsidRPr="00D7389A">
        <w:rPr>
          <w:rFonts w:eastAsia="Malgun Gothic"/>
          <w:sz w:val="20"/>
          <w:lang w:val="nb-NO" w:eastAsia="ko-KR"/>
        </w:rPr>
        <w:t>, 88(5), 1280-1286.</w:t>
      </w:r>
    </w:p>
    <w:p w14:paraId="709DFA6B" w14:textId="70E49982" w:rsidR="004449E4" w:rsidRDefault="004449E4" w:rsidP="0078067E">
      <w:pPr>
        <w:pStyle w:val="Els-keywords"/>
        <w:spacing w:after="120" w:line="240" w:lineRule="auto"/>
        <w:rPr>
          <w:rFonts w:eastAsia="Malgun Gothic"/>
          <w:sz w:val="20"/>
          <w:lang w:eastAsia="ko-KR"/>
        </w:rPr>
      </w:pPr>
      <w:r w:rsidRPr="004449E4">
        <w:rPr>
          <w:rFonts w:eastAsia="Malgun Gothic"/>
          <w:sz w:val="20"/>
          <w:lang w:val="nb-NO" w:eastAsia="ko-KR"/>
        </w:rPr>
        <w:t>[</w:t>
      </w:r>
      <w:r w:rsidR="00D7389A">
        <w:rPr>
          <w:rFonts w:eastAsia="Malgun Gothic"/>
          <w:sz w:val="20"/>
          <w:lang w:val="nb-NO" w:eastAsia="ko-KR"/>
        </w:rPr>
        <w:t>4</w:t>
      </w:r>
      <w:r w:rsidRPr="004449E4">
        <w:rPr>
          <w:rFonts w:eastAsia="Malgun Gothic"/>
          <w:sz w:val="20"/>
          <w:lang w:val="nb-NO" w:eastAsia="ko-KR"/>
        </w:rPr>
        <w:t xml:space="preserve">] </w:t>
      </w:r>
      <w:r w:rsidR="00D7389A" w:rsidRPr="00D7389A">
        <w:rPr>
          <w:rFonts w:eastAsia="Malgun Gothic"/>
          <w:sz w:val="20"/>
          <w:lang w:val="nb-NO" w:eastAsia="ko-KR"/>
        </w:rPr>
        <w:t xml:space="preserve">Li, X., Kim, M. J., Bang, W. S., &amp; Yuk, H. G. (2018). Anti-biofilm effect of 405-nm LEDs against </w:t>
      </w:r>
      <w:r w:rsidR="00D7389A" w:rsidRPr="002E01CE">
        <w:rPr>
          <w:rFonts w:eastAsia="Malgun Gothic"/>
          <w:i/>
          <w:iCs/>
          <w:sz w:val="20"/>
          <w:lang w:val="nb-NO" w:eastAsia="ko-KR"/>
        </w:rPr>
        <w:t>Listeria monocytogenes</w:t>
      </w:r>
      <w:r w:rsidR="00D7389A" w:rsidRPr="00D7389A">
        <w:rPr>
          <w:rFonts w:eastAsia="Malgun Gothic"/>
          <w:sz w:val="20"/>
          <w:lang w:val="nb-NO" w:eastAsia="ko-KR"/>
        </w:rPr>
        <w:t xml:space="preserve"> in simulated ready-to-eat fresh salmon storage conditions. </w:t>
      </w:r>
      <w:r w:rsidR="00D7389A" w:rsidRPr="002E01CE">
        <w:rPr>
          <w:rFonts w:eastAsia="Malgun Gothic"/>
          <w:i/>
          <w:iCs/>
          <w:sz w:val="20"/>
          <w:lang w:val="nb-NO" w:eastAsia="ko-KR"/>
        </w:rPr>
        <w:t>Food Control</w:t>
      </w:r>
      <w:r w:rsidR="00D7389A" w:rsidRPr="00D7389A">
        <w:rPr>
          <w:rFonts w:eastAsia="Malgun Gothic"/>
          <w:sz w:val="20"/>
          <w:lang w:val="nb-NO" w:eastAsia="ko-KR"/>
        </w:rPr>
        <w:t>, 84, 513-521</w:t>
      </w:r>
    </w:p>
    <w:p w14:paraId="7BC67066" w14:textId="54FF5BC4" w:rsidR="003B0ABD" w:rsidRPr="004449E4" w:rsidRDefault="004449E4" w:rsidP="0078067E">
      <w:pPr>
        <w:pStyle w:val="Els-keywords"/>
        <w:spacing w:after="120" w:line="240" w:lineRule="auto"/>
        <w:rPr>
          <w:rFonts w:eastAsia="Malgun Gothic"/>
          <w:sz w:val="20"/>
          <w:lang w:eastAsia="ko-KR"/>
        </w:rPr>
      </w:pPr>
      <w:r w:rsidRPr="004449E4">
        <w:rPr>
          <w:rFonts w:eastAsia="Malgun Gothic"/>
          <w:sz w:val="20"/>
          <w:lang w:val="nb-NO" w:eastAsia="ko-KR"/>
        </w:rPr>
        <w:t>[</w:t>
      </w:r>
      <w:r w:rsidR="00D7389A">
        <w:rPr>
          <w:rFonts w:eastAsia="Malgun Gothic"/>
          <w:sz w:val="20"/>
          <w:lang w:val="nb-NO" w:eastAsia="ko-KR"/>
        </w:rPr>
        <w:t>5</w:t>
      </w:r>
      <w:r w:rsidRPr="004449E4">
        <w:rPr>
          <w:rFonts w:eastAsia="Malgun Gothic"/>
          <w:sz w:val="20"/>
          <w:lang w:val="nb-NO" w:eastAsia="ko-KR"/>
        </w:rPr>
        <w:t xml:space="preserve">] </w:t>
      </w:r>
      <w:r w:rsidR="00D7389A" w:rsidRPr="00D7389A">
        <w:rPr>
          <w:rFonts w:eastAsia="Malgun Gothic"/>
          <w:sz w:val="20"/>
          <w:lang w:val="nb-NO" w:eastAsia="ko-KR"/>
        </w:rPr>
        <w:t xml:space="preserve">Wang, R., Zhang, W., Zhu, W., Yan, L., Li, S., Chen, K., ... &amp; Wang, J. (2018). Enhanced visible-light-driven photocatalytic sterilization of tungsten trioxide by surface-engineering oxygen vacancy and carbon matrix. </w:t>
      </w:r>
      <w:r w:rsidR="00D7389A" w:rsidRPr="002E01CE">
        <w:rPr>
          <w:rFonts w:eastAsia="Malgun Gothic"/>
          <w:i/>
          <w:iCs/>
          <w:sz w:val="20"/>
          <w:lang w:val="nb-NO" w:eastAsia="ko-KR"/>
        </w:rPr>
        <w:t>Chemical Engineering Journal</w:t>
      </w:r>
      <w:r w:rsidR="00D7389A" w:rsidRPr="00D7389A">
        <w:rPr>
          <w:rFonts w:eastAsia="Malgun Gothic"/>
          <w:sz w:val="20"/>
          <w:lang w:val="nb-NO" w:eastAsia="ko-KR"/>
        </w:rPr>
        <w:t>, 348, 292-300.</w:t>
      </w:r>
    </w:p>
    <w:p w14:paraId="6000CE37" w14:textId="77777777" w:rsidR="00834910" w:rsidRPr="004449E4" w:rsidRDefault="00834910">
      <w:pPr>
        <w:pStyle w:val="Els-keywords"/>
        <w:spacing w:after="120" w:line="240" w:lineRule="auto"/>
        <w:rPr>
          <w:rFonts w:eastAsia="Malgun Gothic"/>
          <w:sz w:val="20"/>
          <w:lang w:eastAsia="ko-KR"/>
        </w:rPr>
      </w:pPr>
    </w:p>
    <w:sectPr w:rsidR="00834910" w:rsidRPr="004449E4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98EA5" w14:textId="77777777" w:rsidR="000C47F5" w:rsidRDefault="000C47F5" w:rsidP="00431340">
      <w:pPr>
        <w:spacing w:after="0" w:line="240" w:lineRule="auto"/>
      </w:pPr>
      <w:r>
        <w:separator/>
      </w:r>
    </w:p>
  </w:endnote>
  <w:endnote w:type="continuationSeparator" w:id="0">
    <w:p w14:paraId="3ED48AE8" w14:textId="77777777" w:rsidR="000C47F5" w:rsidRDefault="000C47F5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CD8FB" w14:textId="77777777" w:rsidR="000C47F5" w:rsidRDefault="000C47F5" w:rsidP="00431340">
      <w:pPr>
        <w:spacing w:after="0" w:line="240" w:lineRule="auto"/>
      </w:pPr>
      <w:r>
        <w:separator/>
      </w:r>
    </w:p>
  </w:footnote>
  <w:footnote w:type="continuationSeparator" w:id="0">
    <w:p w14:paraId="4B4DBB97" w14:textId="77777777" w:rsidR="000C47F5" w:rsidRDefault="000C47F5" w:rsidP="00431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C47F5"/>
    <w:rsid w:val="00115B5C"/>
    <w:rsid w:val="001C51B3"/>
    <w:rsid w:val="00213623"/>
    <w:rsid w:val="00234209"/>
    <w:rsid w:val="00242FB5"/>
    <w:rsid w:val="002537DA"/>
    <w:rsid w:val="002A0A1C"/>
    <w:rsid w:val="002A2B3C"/>
    <w:rsid w:val="002E01CE"/>
    <w:rsid w:val="002F3A8D"/>
    <w:rsid w:val="00372579"/>
    <w:rsid w:val="003B0ABD"/>
    <w:rsid w:val="00431019"/>
    <w:rsid w:val="00431340"/>
    <w:rsid w:val="0043504C"/>
    <w:rsid w:val="004449E4"/>
    <w:rsid w:val="004B7E87"/>
    <w:rsid w:val="004C7508"/>
    <w:rsid w:val="004D1125"/>
    <w:rsid w:val="0059506C"/>
    <w:rsid w:val="005B77D8"/>
    <w:rsid w:val="005F7C48"/>
    <w:rsid w:val="00646E7D"/>
    <w:rsid w:val="00654033"/>
    <w:rsid w:val="00665C88"/>
    <w:rsid w:val="00673656"/>
    <w:rsid w:val="006D3652"/>
    <w:rsid w:val="006E5C08"/>
    <w:rsid w:val="00701469"/>
    <w:rsid w:val="0070599D"/>
    <w:rsid w:val="00755B34"/>
    <w:rsid w:val="007679DD"/>
    <w:rsid w:val="00772B06"/>
    <w:rsid w:val="007752C7"/>
    <w:rsid w:val="0078067E"/>
    <w:rsid w:val="00781D43"/>
    <w:rsid w:val="00827794"/>
    <w:rsid w:val="00834910"/>
    <w:rsid w:val="00934FC5"/>
    <w:rsid w:val="009C71BA"/>
    <w:rsid w:val="00A424A8"/>
    <w:rsid w:val="00A46220"/>
    <w:rsid w:val="00AD38F8"/>
    <w:rsid w:val="00AF135E"/>
    <w:rsid w:val="00B21DEA"/>
    <w:rsid w:val="00BE265A"/>
    <w:rsid w:val="00BF77A7"/>
    <w:rsid w:val="00C17F75"/>
    <w:rsid w:val="00C4616B"/>
    <w:rsid w:val="00C67487"/>
    <w:rsid w:val="00CC179B"/>
    <w:rsid w:val="00D10E69"/>
    <w:rsid w:val="00D3354C"/>
    <w:rsid w:val="00D7389A"/>
    <w:rsid w:val="00D753D4"/>
    <w:rsid w:val="00DA5445"/>
    <w:rsid w:val="00DD4FF9"/>
    <w:rsid w:val="00F31669"/>
    <w:rsid w:val="00F55548"/>
    <w:rsid w:val="00FC3161"/>
    <w:rsid w:val="00FE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ls-Abstract-head">
    <w:name w:val="Els-Abstract-head"/>
    <w:next w:val="Normal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Normal"/>
    <w:rsid w:val="00431340"/>
    <w:pPr>
      <w:spacing w:after="0" w:line="220" w:lineRule="exact"/>
      <w:jc w:val="both"/>
    </w:pPr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Normal"/>
    <w:rsid w:val="00431340"/>
    <w:pPr>
      <w:keepNext/>
      <w:suppressAutoHyphens/>
      <w:spacing w:line="300" w:lineRule="exact"/>
      <w:jc w:val="center"/>
    </w:pPr>
    <w:rPr>
      <w:rFonts w:ascii="Times New Roman" w:eastAsia="SimSun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SimSun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SimSun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SimSun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Normal"/>
    <w:rsid w:val="00431340"/>
    <w:pPr>
      <w:keepNext/>
      <w:numPr>
        <w:numId w:val="1"/>
      </w:numPr>
      <w:tabs>
        <w:tab w:val="num" w:pos="360"/>
      </w:tabs>
      <w:suppressAutoHyphens/>
      <w:spacing w:before="240" w:after="240" w:line="240" w:lineRule="exact"/>
    </w:pPr>
    <w:rPr>
      <w:rFonts w:ascii="Times New Roman" w:eastAsia="SimSun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Normal"/>
    <w:rsid w:val="00431340"/>
    <w:pPr>
      <w:keepNext/>
      <w:numPr>
        <w:ilvl w:val="1"/>
        <w:numId w:val="1"/>
      </w:numPr>
      <w:tabs>
        <w:tab w:val="num" w:pos="360"/>
      </w:tabs>
      <w:suppressAutoHyphens/>
      <w:spacing w:before="240" w:after="24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Normal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Normal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SimSun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Normal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sz w:val="16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E69"/>
  </w:style>
  <w:style w:type="paragraph" w:styleId="Footer">
    <w:name w:val="footer"/>
    <w:basedOn w:val="Normal"/>
    <w:link w:val="FooterChar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E69"/>
  </w:style>
  <w:style w:type="paragraph" w:styleId="NormalWeb">
    <w:name w:val="Normal (Web)"/>
    <w:basedOn w:val="Normal"/>
    <w:uiPriority w:val="99"/>
    <w:unhideWhenUsed/>
    <w:rsid w:val="00AF1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KR" w:eastAsia="ko-KR" w:bidi="ta-IN"/>
    </w:rPr>
  </w:style>
  <w:style w:type="character" w:styleId="Emphasis">
    <w:name w:val="Emphasis"/>
    <w:basedOn w:val="DefaultParagraphFont"/>
    <w:uiPriority w:val="20"/>
    <w:qFormat/>
    <w:rsid w:val="00AF13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3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443</Words>
  <Characters>2909</Characters>
  <Application>Microsoft Office Word</Application>
  <DocSecurity>0</DocSecurity>
  <Lines>40</Lines>
  <Paragraphs>15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NTNU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비노디니</cp:lastModifiedBy>
  <cp:revision>18</cp:revision>
  <dcterms:created xsi:type="dcterms:W3CDTF">2026-04-24T05:27:00Z</dcterms:created>
  <dcterms:modified xsi:type="dcterms:W3CDTF">2026-04-29T07:33:00Z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