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56A75" w14:textId="28F84F97" w:rsidR="00431340" w:rsidRPr="00117C62" w:rsidRDefault="00D753D4" w:rsidP="00117C62">
      <w:pPr>
        <w:pStyle w:val="NoSpacing"/>
        <w:jc w:val="center"/>
        <w:rPr>
          <w:rFonts w:ascii="Times New Roman" w:hAnsi="Times New Roman" w:cs="Times New Roman"/>
          <w:sz w:val="24"/>
          <w:szCs w:val="24"/>
        </w:rPr>
      </w:pPr>
      <w:r w:rsidRPr="00117C62">
        <w:rPr>
          <w:rFonts w:ascii="Times New Roman" w:hAnsi="Times New Roman" w:cs="Times New Roman"/>
          <w:sz w:val="24"/>
          <w:szCs w:val="24"/>
        </w:rPr>
        <w:t>SIFF</w:t>
      </w:r>
      <w:r w:rsidR="00BF77A7" w:rsidRPr="00117C62">
        <w:rPr>
          <w:rFonts w:ascii="Times New Roman" w:hAnsi="Times New Roman" w:cs="Times New Roman"/>
          <w:sz w:val="24"/>
          <w:szCs w:val="24"/>
        </w:rPr>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4538BFCD" w14:textId="5914B91D" w:rsidR="00431340" w:rsidRPr="00C67487" w:rsidRDefault="00042CEF" w:rsidP="00C67487">
      <w:pPr>
        <w:pStyle w:val="Els-Title"/>
      </w:pPr>
      <w:r>
        <w:t>Leaf Protein Concentrates as Alternative Source of Protein: Thermal-Acid Treatment to Reshape Moringa Leaf Protein</w:t>
      </w:r>
    </w:p>
    <w:p w14:paraId="5E774EED" w14:textId="64DACC0E" w:rsidR="00673656" w:rsidRPr="00117C62" w:rsidRDefault="009A3210" w:rsidP="00673656">
      <w:pPr>
        <w:pStyle w:val="Els-Author"/>
        <w:ind w:right="2"/>
        <w:rPr>
          <w:sz w:val="24"/>
          <w:szCs w:val="24"/>
        </w:rPr>
      </w:pPr>
      <w:r w:rsidRPr="00117C62">
        <w:rPr>
          <w:sz w:val="24"/>
          <w:szCs w:val="24"/>
        </w:rPr>
        <w:t>Z. Karami</w:t>
      </w:r>
      <w:r w:rsidRPr="00117C62">
        <w:rPr>
          <w:sz w:val="24"/>
          <w:szCs w:val="24"/>
          <w:vertAlign w:val="superscript"/>
        </w:rPr>
        <w:t>a</w:t>
      </w:r>
      <w:r w:rsidRPr="00117C62">
        <w:rPr>
          <w:sz w:val="24"/>
          <w:szCs w:val="24"/>
        </w:rPr>
        <w:t xml:space="preserve">, </w:t>
      </w:r>
      <w:r w:rsidR="00531C5D" w:rsidRPr="00117C62">
        <w:rPr>
          <w:sz w:val="24"/>
          <w:szCs w:val="24"/>
        </w:rPr>
        <w:t>A.I. Halafihi</w:t>
      </w:r>
      <w:r w:rsidR="00531C5D" w:rsidRPr="00117C62">
        <w:rPr>
          <w:sz w:val="24"/>
          <w:szCs w:val="24"/>
          <w:vertAlign w:val="superscript"/>
        </w:rPr>
        <w:t>a</w:t>
      </w:r>
      <w:r w:rsidR="00531C5D" w:rsidRPr="00117C62">
        <w:rPr>
          <w:sz w:val="24"/>
          <w:szCs w:val="24"/>
        </w:rPr>
        <w:t xml:space="preserve"> , </w:t>
      </w:r>
      <w:r w:rsidRPr="00117C62">
        <w:rPr>
          <w:sz w:val="24"/>
          <w:szCs w:val="24"/>
        </w:rPr>
        <w:t>T. Sangsukiam</w:t>
      </w:r>
      <w:r w:rsidRPr="00117C62">
        <w:rPr>
          <w:sz w:val="24"/>
          <w:szCs w:val="24"/>
          <w:vertAlign w:val="superscript"/>
        </w:rPr>
        <w:t>b</w:t>
      </w:r>
      <w:r w:rsidRPr="00117C62">
        <w:rPr>
          <w:sz w:val="24"/>
          <w:szCs w:val="24"/>
        </w:rPr>
        <w:t>, and K. Duangmal</w:t>
      </w:r>
      <w:r w:rsidRPr="00117C62">
        <w:rPr>
          <w:sz w:val="24"/>
          <w:szCs w:val="24"/>
          <w:vertAlign w:val="superscript"/>
        </w:rPr>
        <w:t>a</w:t>
      </w:r>
      <w:r w:rsidRPr="00117C62">
        <w:rPr>
          <w:sz w:val="24"/>
          <w:szCs w:val="24"/>
        </w:rPr>
        <w:t xml:space="preserve">* </w:t>
      </w:r>
    </w:p>
    <w:p w14:paraId="5342D5C1" w14:textId="221BB0DE" w:rsidR="00673656" w:rsidRPr="00673656" w:rsidRDefault="00673656" w:rsidP="00431340">
      <w:pPr>
        <w:pStyle w:val="Els-Author"/>
        <w:ind w:right="2"/>
        <w:rPr>
          <w:sz w:val="28"/>
          <w:szCs w:val="28"/>
        </w:rPr>
        <w:sectPr w:rsidR="00673656" w:rsidRPr="0067365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p>
    <w:p w14:paraId="652CE03F" w14:textId="0C0362A2" w:rsidR="00431340" w:rsidRPr="00234209" w:rsidRDefault="004C7508" w:rsidP="00234209">
      <w:pPr>
        <w:pStyle w:val="Els-Affiliation"/>
        <w:rPr>
          <w:iCs/>
        </w:rPr>
      </w:pPr>
      <w:r>
        <w:rPr>
          <w:vertAlign w:val="superscript"/>
          <w:lang w:val="nb-NO"/>
        </w:rPr>
        <w:t>a</w:t>
      </w:r>
      <w:r w:rsidRPr="00234209">
        <w:rPr>
          <w:lang w:val="nb-NO"/>
        </w:rPr>
        <w:t xml:space="preserve"> </w:t>
      </w:r>
      <w:r>
        <w:rPr>
          <w:lang w:val="nb-NO"/>
        </w:rPr>
        <w:t>Department of</w:t>
      </w:r>
      <w:r w:rsidR="009A3210">
        <w:rPr>
          <w:lang w:val="nb-NO"/>
        </w:rPr>
        <w:t xml:space="preserve"> Food Technology</w:t>
      </w:r>
      <w:r>
        <w:rPr>
          <w:lang w:val="nb-NO"/>
        </w:rPr>
        <w:t xml:space="preserve">, </w:t>
      </w:r>
      <w:r w:rsidR="009A3210">
        <w:rPr>
          <w:lang w:val="nb-NO"/>
        </w:rPr>
        <w:t>Faculty of Science</w:t>
      </w:r>
      <w:r>
        <w:rPr>
          <w:lang w:val="nb-NO"/>
        </w:rPr>
        <w:t xml:space="preserve">, </w:t>
      </w:r>
      <w:r w:rsidR="009A3210">
        <w:rPr>
          <w:lang w:val="nb-NO"/>
        </w:rPr>
        <w:t>Chulalongkorn University, Bangkok</w:t>
      </w:r>
      <w:r>
        <w:rPr>
          <w:lang w:val="nb-NO"/>
        </w:rPr>
        <w:t>,</w:t>
      </w:r>
      <w:r w:rsidR="009A3210">
        <w:rPr>
          <w:lang w:val="nb-NO"/>
        </w:rPr>
        <w:t>10330, Thailand</w:t>
      </w:r>
      <w:r>
        <w:rPr>
          <w:lang w:val="nb-NO"/>
        </w:rPr>
        <w:t xml:space="preserve"> </w:t>
      </w:r>
    </w:p>
    <w:p w14:paraId="05A3C6FA" w14:textId="45AD3FFF" w:rsidR="00431340" w:rsidRDefault="00234209" w:rsidP="00431340">
      <w:pPr>
        <w:pStyle w:val="Els-Affiliation"/>
        <w:spacing w:after="400"/>
        <w:rPr>
          <w:lang w:eastAsia="zh-CN"/>
        </w:rPr>
      </w:pPr>
      <w:r w:rsidRPr="00234209">
        <w:rPr>
          <w:vertAlign w:val="superscript"/>
          <w:lang w:val="nb-NO"/>
        </w:rPr>
        <w:t>b</w:t>
      </w:r>
      <w:r w:rsidR="009A3210">
        <w:rPr>
          <w:lang w:val="nb-NO"/>
        </w:rPr>
        <w:t xml:space="preserve"> </w:t>
      </w:r>
      <w:r w:rsidR="009A3210" w:rsidRPr="009A3210">
        <w:rPr>
          <w:color w:val="242424"/>
          <w:szCs w:val="16"/>
          <w:bdr w:val="none" w:sz="0" w:space="0" w:color="auto" w:frame="1"/>
          <w:shd w:val="clear" w:color="auto" w:fill="FFFFFF"/>
        </w:rPr>
        <w:t>Department of Agro-Industrial, Food and Environmental, </w:t>
      </w:r>
      <w:bookmarkStart w:id="0" w:name="x__Hlk172274323"/>
      <w:r w:rsidR="009A3210" w:rsidRPr="009A3210">
        <w:rPr>
          <w:color w:val="242424"/>
          <w:szCs w:val="16"/>
          <w:bdr w:val="none" w:sz="0" w:space="0" w:color="auto" w:frame="1"/>
          <w:shd w:val="clear" w:color="auto" w:fill="FFFFFF"/>
        </w:rPr>
        <w:t>King Mongkut’s University of Technology North Bangkok</w:t>
      </w:r>
      <w:bookmarkEnd w:id="0"/>
      <w:r w:rsidR="009A3210" w:rsidRPr="009A3210">
        <w:rPr>
          <w:color w:val="242424"/>
          <w:szCs w:val="16"/>
          <w:bdr w:val="none" w:sz="0" w:space="0" w:color="auto" w:frame="1"/>
          <w:shd w:val="clear" w:color="auto" w:fill="FFFFFF"/>
        </w:rPr>
        <w:t>, Bangkok, 10800, Thailand</w:t>
      </w:r>
    </w:p>
    <w:p w14:paraId="7715227C" w14:textId="77777777" w:rsidR="00431340" w:rsidRPr="00BF77A7" w:rsidRDefault="00431340" w:rsidP="00531C5D">
      <w:pPr>
        <w:pStyle w:val="Els-Abstract-head"/>
        <w:spacing w:before="120" w:after="0" w:line="240" w:lineRule="auto"/>
        <w:rPr>
          <w:sz w:val="20"/>
        </w:rPr>
      </w:pPr>
      <w:r w:rsidRPr="00BF77A7">
        <w:rPr>
          <w:sz w:val="20"/>
        </w:rPr>
        <w:t>Abstract</w:t>
      </w:r>
    </w:p>
    <w:p w14:paraId="5D25A806" w14:textId="6247FE24" w:rsidR="00261B1B" w:rsidRDefault="00397E79" w:rsidP="00261B1B">
      <w:pPr>
        <w:spacing w:before="120" w:after="0" w:line="240" w:lineRule="auto"/>
        <w:jc w:val="both"/>
        <w:rPr>
          <w:rFonts w:ascii="Times New Roman" w:hAnsi="Times New Roman" w:cs="Times New Roman"/>
          <w:sz w:val="20"/>
          <w:szCs w:val="20"/>
        </w:rPr>
      </w:pPr>
      <w:r w:rsidRPr="00490529">
        <w:rPr>
          <w:rFonts w:ascii="Times New Roman" w:hAnsi="Times New Roman" w:cs="Times New Roman"/>
          <w:sz w:val="20"/>
          <w:szCs w:val="20"/>
        </w:rPr>
        <w:t>Leaf protein concentrates (LPCs) are emerging as a sustainable and nutrient-rich alternative protein source for both human food and animal feed</w:t>
      </w:r>
      <w:r w:rsidR="00531C5D" w:rsidRPr="00490529">
        <w:rPr>
          <w:rFonts w:ascii="Times New Roman" w:hAnsi="Times New Roman" w:cs="Times New Roman"/>
          <w:sz w:val="20"/>
          <w:szCs w:val="20"/>
        </w:rPr>
        <w:t>, derived from green plants (e.g. alfalfa, spinach, sugar beet leaves, potato leaves, moringa leaves, cassava leaves)</w:t>
      </w:r>
      <w:r w:rsidR="00ED4DB5" w:rsidRPr="00490529">
        <w:rPr>
          <w:rFonts w:ascii="Times New Roman" w:hAnsi="Times New Roman" w:cs="Times New Roman"/>
          <w:sz w:val="20"/>
          <w:szCs w:val="20"/>
        </w:rPr>
        <w:t xml:space="preserve"> [1]</w:t>
      </w:r>
      <w:r w:rsidR="00531C5D" w:rsidRPr="00490529">
        <w:rPr>
          <w:rFonts w:ascii="Times New Roman" w:hAnsi="Times New Roman" w:cs="Times New Roman"/>
          <w:sz w:val="20"/>
          <w:szCs w:val="20"/>
        </w:rPr>
        <w:t xml:space="preserve">. In this study, </w:t>
      </w:r>
      <w:r w:rsidRPr="00490529">
        <w:rPr>
          <w:rFonts w:ascii="Times New Roman" w:hAnsi="Times New Roman" w:cs="Times New Roman"/>
          <w:sz w:val="20"/>
          <w:szCs w:val="20"/>
        </w:rPr>
        <w:t>a mild acid–heat treatment was applied following protein precipitation of moringa leaf extracts near their isoelectric point (pI). The protein yield and composition of LPCs can vary depending on plant species, harvesting stage, processing conditions, and production scale. Typically, LPCs are rich in ribulose-1,5-bisphosphate carboxylase/oxygenase (RuBisCO) along with other photosynthetic proteins</w:t>
      </w:r>
      <w:r w:rsidR="00ED4DB5" w:rsidRPr="00490529">
        <w:rPr>
          <w:rFonts w:ascii="Times New Roman" w:hAnsi="Times New Roman" w:cs="Times New Roman"/>
          <w:sz w:val="20"/>
          <w:szCs w:val="20"/>
        </w:rPr>
        <w:t xml:space="preserve"> [2]</w:t>
      </w:r>
      <w:r w:rsidR="00531C5D" w:rsidRPr="00490529">
        <w:rPr>
          <w:rFonts w:ascii="Times New Roman" w:hAnsi="Times New Roman" w:cs="Times New Roman"/>
          <w:sz w:val="20"/>
          <w:szCs w:val="20"/>
        </w:rPr>
        <w:t xml:space="preserve">. </w:t>
      </w:r>
      <w:r w:rsidR="00F96862" w:rsidRPr="00490529">
        <w:rPr>
          <w:rFonts w:ascii="Times New Roman" w:hAnsi="Times New Roman" w:cs="Times New Roman"/>
          <w:sz w:val="20"/>
          <w:szCs w:val="20"/>
        </w:rPr>
        <w:t xml:space="preserve">The preparation of LPCs involves several key steps: (i) mechanical disruption of plant tissues, (ii) protein solubilization under alkaline conditions (around pH 9.0), (iii) protein precipitation near the </w:t>
      </w:r>
      <w:r w:rsidR="00490529" w:rsidRPr="00490529">
        <w:rPr>
          <w:rFonts w:ascii="Times New Roman" w:hAnsi="Times New Roman" w:cs="Times New Roman"/>
          <w:sz w:val="20"/>
          <w:szCs w:val="20"/>
        </w:rPr>
        <w:t xml:space="preserve">pI </w:t>
      </w:r>
      <w:r w:rsidR="00F96862" w:rsidRPr="00490529">
        <w:rPr>
          <w:rFonts w:ascii="Times New Roman" w:hAnsi="Times New Roman" w:cs="Times New Roman"/>
          <w:sz w:val="20"/>
          <w:szCs w:val="20"/>
        </w:rPr>
        <w:t>(approximately pH 4.5), (iv) separation via centrifugation or membrane filtration, and (v) drying. Protein precipitation can be induced either thermally or by pH adjustment, and the chosen method significantly influences protein structure and, consequently, functional properties.</w:t>
      </w:r>
      <w:r w:rsidR="00490529">
        <w:rPr>
          <w:rFonts w:ascii="Times New Roman" w:hAnsi="Times New Roman" w:cs="Times New Roman"/>
          <w:sz w:val="20"/>
          <w:szCs w:val="20"/>
        </w:rPr>
        <w:t xml:space="preserve"> </w:t>
      </w:r>
      <w:r w:rsidR="00531C5D" w:rsidRPr="003C7F1B">
        <w:rPr>
          <w:rFonts w:ascii="Times New Roman" w:hAnsi="Times New Roman" w:cs="Times New Roman"/>
          <w:sz w:val="20"/>
          <w:szCs w:val="20"/>
        </w:rPr>
        <w:t>T</w:t>
      </w:r>
      <w:r w:rsidR="00531C5D" w:rsidRPr="003C7F1B">
        <w:rPr>
          <w:rStyle w:val="Strong"/>
          <w:rFonts w:ascii="Times New Roman" w:hAnsi="Times New Roman" w:cs="Times New Roman"/>
          <w:b w:val="0"/>
          <w:bCs w:val="0"/>
          <w:sz w:val="20"/>
          <w:szCs w:val="20"/>
        </w:rPr>
        <w:t xml:space="preserve">his study investigated the effects of thermal treatment (30, 55, and 85°C) under mild acidic conditions (pH 4.5) during protein precipitation on </w:t>
      </w:r>
      <w:r w:rsidR="00F96862" w:rsidRPr="00490529">
        <w:rPr>
          <w:rStyle w:val="Strong"/>
          <w:rFonts w:ascii="Times New Roman" w:hAnsi="Times New Roman" w:cs="Times New Roman"/>
          <w:b w:val="0"/>
          <w:bCs w:val="0"/>
          <w:sz w:val="20"/>
          <w:szCs w:val="20"/>
        </w:rPr>
        <w:t>the</w:t>
      </w:r>
      <w:r w:rsidR="00F96862">
        <w:rPr>
          <w:rStyle w:val="Strong"/>
          <w:rFonts w:ascii="Times New Roman" w:hAnsi="Times New Roman" w:cs="Times New Roman"/>
          <w:b w:val="0"/>
          <w:bCs w:val="0"/>
          <w:sz w:val="20"/>
          <w:szCs w:val="20"/>
        </w:rPr>
        <w:t xml:space="preserve"> </w:t>
      </w:r>
      <w:r w:rsidR="00531C5D" w:rsidRPr="003C7F1B">
        <w:rPr>
          <w:rStyle w:val="Strong"/>
          <w:rFonts w:ascii="Times New Roman" w:hAnsi="Times New Roman" w:cs="Times New Roman"/>
          <w:b w:val="0"/>
          <w:bCs w:val="0"/>
          <w:sz w:val="20"/>
          <w:szCs w:val="20"/>
        </w:rPr>
        <w:t xml:space="preserve">structural characteristics, emulsifying properties and metabolite </w:t>
      </w:r>
      <w:r w:rsidR="00531C5D" w:rsidRPr="00490529">
        <w:rPr>
          <w:rStyle w:val="Strong"/>
          <w:rFonts w:ascii="Times New Roman" w:hAnsi="Times New Roman" w:cs="Times New Roman"/>
          <w:b w:val="0"/>
          <w:bCs w:val="0"/>
          <w:sz w:val="20"/>
          <w:szCs w:val="20"/>
        </w:rPr>
        <w:t>profil</w:t>
      </w:r>
      <w:r w:rsidR="00F96862" w:rsidRPr="00490529">
        <w:rPr>
          <w:rStyle w:val="Strong"/>
          <w:rFonts w:ascii="Times New Roman" w:hAnsi="Times New Roman" w:cs="Times New Roman"/>
          <w:b w:val="0"/>
          <w:bCs w:val="0"/>
          <w:sz w:val="20"/>
          <w:szCs w:val="20"/>
        </w:rPr>
        <w:t>e</w:t>
      </w:r>
      <w:r w:rsidR="00531C5D" w:rsidRPr="00490529">
        <w:rPr>
          <w:rStyle w:val="Strong"/>
          <w:rFonts w:ascii="Times New Roman" w:hAnsi="Times New Roman" w:cs="Times New Roman"/>
          <w:b w:val="0"/>
          <w:bCs w:val="0"/>
          <w:sz w:val="20"/>
          <w:szCs w:val="20"/>
        </w:rPr>
        <w:t xml:space="preserve"> of</w:t>
      </w:r>
      <w:r w:rsidR="00531C5D" w:rsidRPr="003C7F1B">
        <w:rPr>
          <w:rStyle w:val="Strong"/>
          <w:rFonts w:ascii="Times New Roman" w:hAnsi="Times New Roman" w:cs="Times New Roman"/>
          <w:b w:val="0"/>
          <w:bCs w:val="0"/>
          <w:sz w:val="20"/>
          <w:szCs w:val="20"/>
        </w:rPr>
        <w:t xml:space="preserve"> Moringa leaf protein (MoLP) from two cultivars.</w:t>
      </w:r>
      <w:r w:rsidR="00531C5D" w:rsidRPr="003C7F1B">
        <w:rPr>
          <w:rStyle w:val="Strong"/>
          <w:rFonts w:ascii="Times New Roman" w:hAnsi="Times New Roman" w:cs="Times New Roman"/>
          <w:sz w:val="20"/>
          <w:szCs w:val="20"/>
        </w:rPr>
        <w:t xml:space="preserve"> </w:t>
      </w:r>
      <w:r w:rsidR="00531C5D" w:rsidRPr="003C7F1B">
        <w:rPr>
          <w:rStyle w:val="Strong"/>
          <w:rFonts w:ascii="Times New Roman" w:hAnsi="Times New Roman" w:cs="Times New Roman"/>
          <w:b w:val="0"/>
          <w:bCs w:val="0"/>
          <w:sz w:val="20"/>
          <w:szCs w:val="20"/>
        </w:rPr>
        <w:t>Moderate heating at 55°C resulted in the highest protein recovery</w:t>
      </w:r>
      <w:r w:rsidR="00531C5D" w:rsidRPr="00490529">
        <w:rPr>
          <w:rStyle w:val="Strong"/>
          <w:rFonts w:ascii="Times New Roman" w:hAnsi="Times New Roman" w:cs="Times New Roman"/>
          <w:b w:val="0"/>
          <w:bCs w:val="0"/>
          <w:sz w:val="20"/>
          <w:szCs w:val="20"/>
        </w:rPr>
        <w:t xml:space="preserve"> </w:t>
      </w:r>
      <w:r w:rsidR="00F96862" w:rsidRPr="00490529">
        <w:rPr>
          <w:rStyle w:val="Strong"/>
          <w:rFonts w:ascii="Times New Roman" w:hAnsi="Times New Roman" w:cs="Times New Roman"/>
          <w:b w:val="0"/>
          <w:bCs w:val="0"/>
          <w:sz w:val="20"/>
          <w:szCs w:val="20"/>
        </w:rPr>
        <w:t xml:space="preserve">whereas </w:t>
      </w:r>
      <w:r w:rsidR="00531C5D" w:rsidRPr="00490529">
        <w:rPr>
          <w:rStyle w:val="Strong"/>
          <w:rFonts w:ascii="Times New Roman" w:hAnsi="Times New Roman" w:cs="Times New Roman"/>
          <w:b w:val="0"/>
          <w:bCs w:val="0"/>
          <w:sz w:val="20"/>
          <w:szCs w:val="20"/>
        </w:rPr>
        <w:t xml:space="preserve"> severe </w:t>
      </w:r>
      <w:r w:rsidR="00531C5D" w:rsidRPr="003C7F1B">
        <w:rPr>
          <w:rStyle w:val="Strong"/>
          <w:rFonts w:ascii="Times New Roman" w:hAnsi="Times New Roman" w:cs="Times New Roman"/>
          <w:b w:val="0"/>
          <w:bCs w:val="0"/>
          <w:sz w:val="20"/>
          <w:szCs w:val="20"/>
        </w:rPr>
        <w:t>heating at 85°C reduced protein content and promoted aggregation.</w:t>
      </w:r>
      <w:r w:rsidR="00531C5D" w:rsidRPr="003C7F1B">
        <w:rPr>
          <w:rStyle w:val="Strong"/>
          <w:rFonts w:ascii="Times New Roman" w:hAnsi="Times New Roman" w:cs="Times New Roman"/>
          <w:sz w:val="20"/>
          <w:szCs w:val="20"/>
        </w:rPr>
        <w:t xml:space="preserve"> </w:t>
      </w:r>
      <w:r w:rsidR="00261B1B" w:rsidRPr="00490529">
        <w:rPr>
          <w:rFonts w:ascii="Times New Roman" w:hAnsi="Times New Roman" w:cs="Times New Roman"/>
          <w:sz w:val="20"/>
          <w:szCs w:val="20"/>
        </w:rPr>
        <w:t xml:space="preserve">Structural analyses revealed heat-induced modifications, including changes in </w:t>
      </w:r>
      <w:r w:rsidR="00490529" w:rsidRPr="00490529">
        <w:rPr>
          <w:rFonts w:ascii="Times New Roman" w:hAnsi="Times New Roman" w:cs="Times New Roman"/>
          <w:sz w:val="20"/>
          <w:szCs w:val="20"/>
        </w:rPr>
        <w:t xml:space="preserve">hydrophobicity, </w:t>
      </w:r>
      <w:r w:rsidR="00261B1B" w:rsidRPr="00490529">
        <w:rPr>
          <w:rFonts w:ascii="Times New Roman" w:hAnsi="Times New Roman" w:cs="Times New Roman"/>
          <w:sz w:val="20"/>
          <w:szCs w:val="20"/>
        </w:rPr>
        <w:t>sulfhydryl and disulfide groups, as well as shifts in the Amide I region, which were associated with variations in emulsifying performance. SDS-PAGE analysis further confirmed alterations in protein profiles, particularly affecting RuBisCO-related fractions. Metabolite profiling using LC–MS/MS provided additional insights into compositional differences between the two cultivars and will be discussed further in the conference</w:t>
      </w:r>
      <w:r w:rsidR="00531C5D" w:rsidRPr="00490529">
        <w:rPr>
          <w:rStyle w:val="Strong"/>
          <w:rFonts w:ascii="Times New Roman" w:hAnsi="Times New Roman" w:cs="Times New Roman"/>
          <w:b w:val="0"/>
          <w:bCs w:val="0"/>
          <w:sz w:val="20"/>
          <w:szCs w:val="20"/>
        </w:rPr>
        <w:t xml:space="preserve">. </w:t>
      </w:r>
      <w:r w:rsidR="00261B1B" w:rsidRPr="00490529">
        <w:rPr>
          <w:rFonts w:ascii="Times New Roman" w:hAnsi="Times New Roman" w:cs="Times New Roman"/>
          <w:sz w:val="20"/>
          <w:szCs w:val="20"/>
        </w:rPr>
        <w:t xml:space="preserve">To evaluate practical applications, moringa leaf protein concentrates were incorporated into pancake formulations at substitution levels of 5–15%. This resulted in a notable increase in protein content (up to 18.7 ± 1.2%) compared to the control. </w:t>
      </w:r>
      <w:r w:rsidR="00261B1B" w:rsidRPr="00261B1B">
        <w:rPr>
          <w:rFonts w:ascii="Times New Roman" w:hAnsi="Times New Roman" w:cs="Times New Roman"/>
          <w:sz w:val="20"/>
          <w:szCs w:val="20"/>
        </w:rPr>
        <w:t>Importantly, texture profile analysis indicated that key attributes such as springiness and cohesiveness were preserved, even at the highest substitution level (15%).</w:t>
      </w:r>
    </w:p>
    <w:p w14:paraId="0AE07FD0" w14:textId="648F00FC" w:rsidR="002A0A1C" w:rsidRPr="00117C62" w:rsidRDefault="002A0A1C" w:rsidP="00117C62">
      <w:pPr>
        <w:spacing w:before="120" w:after="0" w:line="240" w:lineRule="auto"/>
        <w:jc w:val="both"/>
        <w:rPr>
          <w:rFonts w:ascii="Times New Roman" w:hAnsi="Times New Roman" w:cs="Times New Roman"/>
          <w:b/>
          <w:sz w:val="20"/>
        </w:rPr>
      </w:pPr>
      <w:r w:rsidRPr="00117C62">
        <w:rPr>
          <w:rFonts w:ascii="Times New Roman" w:hAnsi="Times New Roman" w:cs="Times New Roman"/>
          <w:b/>
          <w:sz w:val="20"/>
        </w:rPr>
        <w:t>References</w:t>
      </w:r>
    </w:p>
    <w:p w14:paraId="404E289B" w14:textId="77777777" w:rsidR="0063119A" w:rsidRDefault="002A0A1C" w:rsidP="00117C62">
      <w:pPr>
        <w:pStyle w:val="Els-keywords"/>
        <w:spacing w:before="120" w:after="0" w:line="240" w:lineRule="auto"/>
        <w:rPr>
          <w:sz w:val="20"/>
        </w:rPr>
      </w:pPr>
      <w:r w:rsidRPr="00C67487">
        <w:rPr>
          <w:sz w:val="20"/>
        </w:rPr>
        <w:t xml:space="preserve">[1] </w:t>
      </w:r>
      <w:r w:rsidR="00ED4DB5">
        <w:rPr>
          <w:sz w:val="20"/>
        </w:rPr>
        <w:t>T</w:t>
      </w:r>
      <w:r w:rsidR="00665C88" w:rsidRPr="00665C88">
        <w:rPr>
          <w:sz w:val="20"/>
        </w:rPr>
        <w:t>.</w:t>
      </w:r>
      <w:r w:rsidR="00ED4DB5">
        <w:rPr>
          <w:sz w:val="20"/>
        </w:rPr>
        <w:t xml:space="preserve"> </w:t>
      </w:r>
      <w:r w:rsidR="00ED4DB5" w:rsidRPr="00ED4DB5">
        <w:rPr>
          <w:sz w:val="20"/>
        </w:rPr>
        <w:t>Benhammouche</w:t>
      </w:r>
      <w:r w:rsidR="00665C88" w:rsidRPr="00665C88">
        <w:rPr>
          <w:sz w:val="20"/>
        </w:rPr>
        <w:t xml:space="preserve">, </w:t>
      </w:r>
      <w:r w:rsidR="00ED4DB5">
        <w:rPr>
          <w:sz w:val="20"/>
        </w:rPr>
        <w:t xml:space="preserve">A. Melo, Z. Martins, M.A.Faris, S.C.M. Pinho, </w:t>
      </w:r>
      <w:r w:rsidR="00ED4DB5" w:rsidRPr="00ED4DB5">
        <w:rPr>
          <w:sz w:val="20"/>
        </w:rPr>
        <w:t>I. M. L. P. V. O.</w:t>
      </w:r>
      <w:r w:rsidR="00ED4DB5">
        <w:rPr>
          <w:sz w:val="20"/>
        </w:rPr>
        <w:t xml:space="preserve">, Ferreiea, </w:t>
      </w:r>
      <w:r w:rsidR="00ED4DB5" w:rsidRPr="00ED4DB5">
        <w:rPr>
          <w:sz w:val="20"/>
        </w:rPr>
        <w:t xml:space="preserve">&amp; </w:t>
      </w:r>
      <w:r w:rsidR="00ED4DB5">
        <w:rPr>
          <w:sz w:val="20"/>
        </w:rPr>
        <w:t xml:space="preserve">F. </w:t>
      </w:r>
      <w:r w:rsidR="00ED4DB5" w:rsidRPr="00ED4DB5">
        <w:rPr>
          <w:sz w:val="20"/>
        </w:rPr>
        <w:t>Zaidi</w:t>
      </w:r>
      <w:r w:rsidR="00ED4DB5">
        <w:rPr>
          <w:sz w:val="20"/>
        </w:rPr>
        <w:t>, “</w:t>
      </w:r>
      <w:r w:rsidR="00ED4DB5" w:rsidRPr="00ED4DB5">
        <w:rPr>
          <w:sz w:val="20"/>
        </w:rPr>
        <w:t xml:space="preserve">Nutritional </w:t>
      </w:r>
      <w:r w:rsidR="00307491">
        <w:rPr>
          <w:sz w:val="20"/>
        </w:rPr>
        <w:t>Q</w:t>
      </w:r>
      <w:r w:rsidR="00ED4DB5" w:rsidRPr="00ED4DB5">
        <w:rPr>
          <w:sz w:val="20"/>
        </w:rPr>
        <w:t xml:space="preserve">uality of </w:t>
      </w:r>
      <w:r w:rsidR="00307491">
        <w:rPr>
          <w:sz w:val="20"/>
        </w:rPr>
        <w:t>P</w:t>
      </w:r>
      <w:r w:rsidR="00ED4DB5" w:rsidRPr="00ED4DB5">
        <w:rPr>
          <w:sz w:val="20"/>
        </w:rPr>
        <w:t xml:space="preserve">rotein </w:t>
      </w:r>
      <w:r w:rsidR="00307491">
        <w:rPr>
          <w:sz w:val="20"/>
        </w:rPr>
        <w:t>C</w:t>
      </w:r>
      <w:r w:rsidR="00ED4DB5" w:rsidRPr="00ED4DB5">
        <w:rPr>
          <w:sz w:val="20"/>
        </w:rPr>
        <w:t xml:space="preserve">oncentrates from </w:t>
      </w:r>
      <w:r w:rsidR="00ED4DB5" w:rsidRPr="00ED4DB5">
        <w:rPr>
          <w:i/>
          <w:iCs/>
          <w:sz w:val="20"/>
        </w:rPr>
        <w:t>Moringa oleifera</w:t>
      </w:r>
      <w:r w:rsidR="00ED4DB5" w:rsidRPr="00ED4DB5">
        <w:rPr>
          <w:sz w:val="20"/>
        </w:rPr>
        <w:t xml:space="preserve"> </w:t>
      </w:r>
      <w:r w:rsidR="00307491">
        <w:rPr>
          <w:sz w:val="20"/>
        </w:rPr>
        <w:t>L</w:t>
      </w:r>
      <w:r w:rsidR="00ED4DB5" w:rsidRPr="00ED4DB5">
        <w:rPr>
          <w:sz w:val="20"/>
        </w:rPr>
        <w:t xml:space="preserve">eaves and </w:t>
      </w:r>
      <w:r w:rsidR="00307491">
        <w:rPr>
          <w:i/>
          <w:iCs/>
          <w:sz w:val="20"/>
        </w:rPr>
        <w:t>I</w:t>
      </w:r>
      <w:r w:rsidR="00ED4DB5" w:rsidRPr="00ED4DB5">
        <w:rPr>
          <w:i/>
          <w:iCs/>
          <w:sz w:val="20"/>
        </w:rPr>
        <w:t xml:space="preserve">n </w:t>
      </w:r>
      <w:r w:rsidR="00307491">
        <w:rPr>
          <w:i/>
          <w:iCs/>
          <w:sz w:val="20"/>
        </w:rPr>
        <w:t>V</w:t>
      </w:r>
      <w:r w:rsidR="00ED4DB5" w:rsidRPr="00ED4DB5">
        <w:rPr>
          <w:i/>
          <w:iCs/>
          <w:sz w:val="20"/>
        </w:rPr>
        <w:t>itro</w:t>
      </w:r>
      <w:r w:rsidR="00ED4DB5" w:rsidRPr="00ED4DB5">
        <w:rPr>
          <w:sz w:val="20"/>
        </w:rPr>
        <w:t xml:space="preserve"> </w:t>
      </w:r>
      <w:r w:rsidR="00307491">
        <w:rPr>
          <w:sz w:val="20"/>
        </w:rPr>
        <w:t>D</w:t>
      </w:r>
      <w:r w:rsidR="00ED4DB5" w:rsidRPr="00ED4DB5">
        <w:rPr>
          <w:sz w:val="20"/>
        </w:rPr>
        <w:t>igestibility</w:t>
      </w:r>
      <w:r w:rsidR="00ED4DB5">
        <w:rPr>
          <w:sz w:val="20"/>
        </w:rPr>
        <w:t>”</w:t>
      </w:r>
      <w:r w:rsidR="00307491">
        <w:rPr>
          <w:sz w:val="20"/>
        </w:rPr>
        <w:t xml:space="preserve">, </w:t>
      </w:r>
      <w:r w:rsidR="00307491" w:rsidRPr="00307491">
        <w:rPr>
          <w:iCs/>
          <w:sz w:val="20"/>
        </w:rPr>
        <w:t>Food Chemistry</w:t>
      </w:r>
      <w:r w:rsidR="00307491" w:rsidRPr="00ED4DB5">
        <w:rPr>
          <w:i/>
          <w:sz w:val="20"/>
        </w:rPr>
        <w:t>,</w:t>
      </w:r>
      <w:r w:rsidR="00307491">
        <w:rPr>
          <w:iCs/>
          <w:sz w:val="20"/>
        </w:rPr>
        <w:t xml:space="preserve"> Vol.</w:t>
      </w:r>
      <w:r w:rsidR="00307491" w:rsidRPr="00ED4DB5">
        <w:rPr>
          <w:i/>
          <w:sz w:val="20"/>
        </w:rPr>
        <w:t xml:space="preserve"> </w:t>
      </w:r>
      <w:r w:rsidR="00307491" w:rsidRPr="00307491">
        <w:rPr>
          <w:iCs/>
          <w:sz w:val="20"/>
        </w:rPr>
        <w:t>348,</w:t>
      </w:r>
      <w:r w:rsidR="00307491" w:rsidRPr="00ED4DB5">
        <w:rPr>
          <w:sz w:val="20"/>
        </w:rPr>
        <w:t xml:space="preserve"> </w:t>
      </w:r>
      <w:r w:rsidR="00307491">
        <w:rPr>
          <w:sz w:val="20"/>
        </w:rPr>
        <w:t xml:space="preserve">pp. </w:t>
      </w:r>
      <w:r w:rsidR="00307491" w:rsidRPr="00ED4DB5">
        <w:rPr>
          <w:sz w:val="20"/>
        </w:rPr>
        <w:t>128858</w:t>
      </w:r>
      <w:r w:rsidR="00307491">
        <w:rPr>
          <w:sz w:val="20"/>
        </w:rPr>
        <w:t>, 2021</w:t>
      </w:r>
      <w:r w:rsidR="00307491" w:rsidRPr="00ED4DB5">
        <w:rPr>
          <w:sz w:val="20"/>
        </w:rPr>
        <w:t xml:space="preserve">. </w:t>
      </w:r>
      <w:r w:rsidR="00307491">
        <w:rPr>
          <w:sz w:val="20"/>
        </w:rPr>
        <w:t xml:space="preserve"> </w:t>
      </w:r>
    </w:p>
    <w:p w14:paraId="6911FF96" w14:textId="20F25A16" w:rsidR="00665C88" w:rsidRPr="0063119A" w:rsidRDefault="0063119A" w:rsidP="0063119A">
      <w:pPr>
        <w:pStyle w:val="Els-keywords"/>
        <w:spacing w:after="0" w:line="240" w:lineRule="auto"/>
        <w:rPr>
          <w:iCs/>
          <w:sz w:val="20"/>
        </w:rPr>
      </w:pPr>
      <w:r>
        <w:rPr>
          <w:sz w:val="20"/>
        </w:rPr>
        <w:t xml:space="preserve">[2] J.F. </w:t>
      </w:r>
      <w:r w:rsidRPr="0063119A">
        <w:rPr>
          <w:sz w:val="20"/>
        </w:rPr>
        <w:t>Buyel,</w:t>
      </w:r>
      <w:r>
        <w:rPr>
          <w:sz w:val="20"/>
        </w:rPr>
        <w:t xml:space="preserve"> J. </w:t>
      </w:r>
      <w:r w:rsidRPr="0063119A">
        <w:rPr>
          <w:sz w:val="20"/>
        </w:rPr>
        <w:t>Hornbacher,</w:t>
      </w:r>
      <w:r>
        <w:rPr>
          <w:sz w:val="20"/>
        </w:rPr>
        <w:t xml:space="preserve"> T. </w:t>
      </w:r>
      <w:r w:rsidRPr="0063119A">
        <w:rPr>
          <w:sz w:val="20"/>
        </w:rPr>
        <w:t>Esatbeyoglu,</w:t>
      </w:r>
      <w:r>
        <w:rPr>
          <w:sz w:val="20"/>
        </w:rPr>
        <w:t xml:space="preserve"> J. </w:t>
      </w:r>
      <w:r w:rsidRPr="0063119A">
        <w:rPr>
          <w:sz w:val="20"/>
        </w:rPr>
        <w:t>Papenbrock,</w:t>
      </w:r>
      <w:r>
        <w:rPr>
          <w:sz w:val="20"/>
        </w:rPr>
        <w:t xml:space="preserve"> H. </w:t>
      </w:r>
      <w:r w:rsidRPr="0063119A">
        <w:rPr>
          <w:sz w:val="20"/>
        </w:rPr>
        <w:t>Heinrichs,</w:t>
      </w:r>
      <w:r>
        <w:rPr>
          <w:sz w:val="20"/>
        </w:rPr>
        <w:t xml:space="preserve"> C. </w:t>
      </w:r>
      <w:r w:rsidRPr="0063119A">
        <w:rPr>
          <w:sz w:val="20"/>
        </w:rPr>
        <w:t>Schlechtriem,</w:t>
      </w:r>
      <w:r>
        <w:rPr>
          <w:sz w:val="20"/>
        </w:rPr>
        <w:t xml:space="preserve"> …, K. </w:t>
      </w:r>
      <w:r w:rsidRPr="0063119A">
        <w:rPr>
          <w:sz w:val="20"/>
        </w:rPr>
        <w:t>Becker,</w:t>
      </w:r>
      <w:r>
        <w:rPr>
          <w:sz w:val="20"/>
        </w:rPr>
        <w:t xml:space="preserve"> “</w:t>
      </w:r>
      <w:r w:rsidRPr="0063119A">
        <w:rPr>
          <w:sz w:val="20"/>
        </w:rPr>
        <w:t xml:space="preserve">Understanding </w:t>
      </w:r>
      <w:r w:rsidRPr="0063119A">
        <w:rPr>
          <w:i/>
          <w:iCs/>
          <w:sz w:val="20"/>
        </w:rPr>
        <w:t>Moringa oleifera</w:t>
      </w:r>
      <w:r w:rsidRPr="0063119A">
        <w:rPr>
          <w:sz w:val="20"/>
        </w:rPr>
        <w:t xml:space="preserve"> </w:t>
      </w:r>
      <w:r>
        <w:rPr>
          <w:sz w:val="20"/>
        </w:rPr>
        <w:t>A</w:t>
      </w:r>
      <w:r w:rsidRPr="0063119A">
        <w:rPr>
          <w:sz w:val="20"/>
        </w:rPr>
        <w:t xml:space="preserve">nalytics, </w:t>
      </w:r>
      <w:r>
        <w:rPr>
          <w:sz w:val="20"/>
        </w:rPr>
        <w:t>E</w:t>
      </w:r>
      <w:r w:rsidRPr="0063119A">
        <w:rPr>
          <w:sz w:val="20"/>
        </w:rPr>
        <w:t xml:space="preserve">xtraction and </w:t>
      </w:r>
      <w:r>
        <w:rPr>
          <w:sz w:val="20"/>
        </w:rPr>
        <w:t>C</w:t>
      </w:r>
      <w:r w:rsidRPr="0063119A">
        <w:rPr>
          <w:sz w:val="20"/>
        </w:rPr>
        <w:t xml:space="preserve">ultivation for the </w:t>
      </w:r>
      <w:r>
        <w:rPr>
          <w:sz w:val="20"/>
        </w:rPr>
        <w:t>P</w:t>
      </w:r>
      <w:r w:rsidRPr="0063119A">
        <w:rPr>
          <w:sz w:val="20"/>
        </w:rPr>
        <w:t xml:space="preserve">roduction of </w:t>
      </w:r>
      <w:r>
        <w:rPr>
          <w:sz w:val="20"/>
        </w:rPr>
        <w:t>H</w:t>
      </w:r>
      <w:r w:rsidRPr="0063119A">
        <w:rPr>
          <w:sz w:val="20"/>
        </w:rPr>
        <w:t>igh-</w:t>
      </w:r>
      <w:r>
        <w:rPr>
          <w:sz w:val="20"/>
        </w:rPr>
        <w:t>Q</w:t>
      </w:r>
      <w:r w:rsidRPr="0063119A">
        <w:rPr>
          <w:sz w:val="20"/>
        </w:rPr>
        <w:t xml:space="preserve">uality </w:t>
      </w:r>
      <w:r>
        <w:rPr>
          <w:sz w:val="20"/>
        </w:rPr>
        <w:t>P</w:t>
      </w:r>
      <w:r w:rsidRPr="0063119A">
        <w:rPr>
          <w:sz w:val="20"/>
        </w:rPr>
        <w:t xml:space="preserve">roteins and </w:t>
      </w:r>
      <w:r>
        <w:rPr>
          <w:sz w:val="20"/>
        </w:rPr>
        <w:t>B</w:t>
      </w:r>
      <w:r w:rsidRPr="0063119A">
        <w:rPr>
          <w:sz w:val="20"/>
        </w:rPr>
        <w:t xml:space="preserve">ioactive </w:t>
      </w:r>
      <w:r>
        <w:rPr>
          <w:sz w:val="20"/>
        </w:rPr>
        <w:t>N</w:t>
      </w:r>
      <w:r w:rsidRPr="0063119A">
        <w:rPr>
          <w:sz w:val="20"/>
        </w:rPr>
        <w:t xml:space="preserve">atural </w:t>
      </w:r>
      <w:r>
        <w:rPr>
          <w:sz w:val="20"/>
        </w:rPr>
        <w:t>P</w:t>
      </w:r>
      <w:r w:rsidRPr="0063119A">
        <w:rPr>
          <w:sz w:val="20"/>
        </w:rPr>
        <w:t xml:space="preserve">roducts – A </w:t>
      </w:r>
      <w:r>
        <w:rPr>
          <w:sz w:val="20"/>
        </w:rPr>
        <w:t>R</w:t>
      </w:r>
      <w:r w:rsidRPr="0063119A">
        <w:rPr>
          <w:sz w:val="20"/>
        </w:rPr>
        <w:t>eview</w:t>
      </w:r>
      <w:r>
        <w:rPr>
          <w:sz w:val="20"/>
        </w:rPr>
        <w:t xml:space="preserve">”, </w:t>
      </w:r>
      <w:r w:rsidRPr="0063119A">
        <w:rPr>
          <w:iCs/>
          <w:sz w:val="20"/>
        </w:rPr>
        <w:t xml:space="preserve">Industrial Crops and Products, </w:t>
      </w:r>
      <w:r>
        <w:rPr>
          <w:iCs/>
          <w:sz w:val="20"/>
        </w:rPr>
        <w:t xml:space="preserve">Vol. </w:t>
      </w:r>
      <w:r w:rsidRPr="0063119A">
        <w:rPr>
          <w:iCs/>
          <w:sz w:val="20"/>
        </w:rPr>
        <w:t xml:space="preserve">236, </w:t>
      </w:r>
      <w:r>
        <w:rPr>
          <w:iCs/>
          <w:sz w:val="20"/>
        </w:rPr>
        <w:t xml:space="preserve">pp. </w:t>
      </w:r>
      <w:r w:rsidRPr="0063119A">
        <w:rPr>
          <w:iCs/>
          <w:sz w:val="20"/>
        </w:rPr>
        <w:t>121981</w:t>
      </w:r>
      <w:r>
        <w:rPr>
          <w:iCs/>
          <w:sz w:val="20"/>
        </w:rPr>
        <w:t>, 2025.</w:t>
      </w:r>
    </w:p>
    <w:p w14:paraId="2E01C252" w14:textId="77777777" w:rsidR="0063119A" w:rsidRPr="0063119A" w:rsidRDefault="0063119A" w:rsidP="0063119A">
      <w:pPr>
        <w:rPr>
          <w:lang w:val="en-US"/>
        </w:rPr>
      </w:pPr>
    </w:p>
    <w:p w14:paraId="35E979B5" w14:textId="4163502E" w:rsidR="0063119A" w:rsidRPr="0063119A" w:rsidRDefault="0063119A" w:rsidP="0063119A">
      <w:pPr>
        <w:pStyle w:val="EndNoteBibliography"/>
        <w:spacing w:after="0" w:line="480" w:lineRule="auto"/>
        <w:ind w:left="720" w:hanging="720"/>
        <w:rPr>
          <w:rFonts w:ascii="Times New Roman" w:hAnsi="Times New Roman" w:cs="Times New Roman"/>
          <w:sz w:val="20"/>
          <w:szCs w:val="20"/>
        </w:rPr>
      </w:pPr>
      <w:r w:rsidRPr="0063119A">
        <w:rPr>
          <w:rFonts w:ascii="Times New Roman" w:hAnsi="Times New Roman" w:cs="Times New Roman"/>
          <w:sz w:val="20"/>
          <w:szCs w:val="20"/>
        </w:rPr>
        <w:t xml:space="preserve"> </w:t>
      </w:r>
    </w:p>
    <w:p w14:paraId="486177E1" w14:textId="77777777" w:rsidR="00307491" w:rsidRPr="00307491" w:rsidRDefault="00307491" w:rsidP="00307491">
      <w:pPr>
        <w:rPr>
          <w:lang w:val="en-US"/>
        </w:rPr>
      </w:pPr>
    </w:p>
    <w:p w14:paraId="7B5A0D28" w14:textId="77777777" w:rsidR="00307491" w:rsidRPr="00307491" w:rsidRDefault="00307491" w:rsidP="00307491">
      <w:pPr>
        <w:rPr>
          <w:lang w:val="en-US"/>
        </w:rPr>
      </w:pPr>
    </w:p>
    <w:p w14:paraId="770EF651" w14:textId="77777777" w:rsidR="00ED4DB5" w:rsidRPr="00ED4DB5" w:rsidRDefault="00ED4DB5" w:rsidP="00ED4DB5">
      <w:pPr>
        <w:rPr>
          <w:lang w:val="en-US"/>
        </w:rPr>
      </w:pPr>
    </w:p>
    <w:sectPr w:rsidR="00ED4DB5" w:rsidRPr="00ED4DB5"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8A323" w14:textId="77777777" w:rsidR="00F16779" w:rsidRDefault="00F16779" w:rsidP="00431340">
      <w:pPr>
        <w:spacing w:after="0" w:line="240" w:lineRule="auto"/>
      </w:pPr>
      <w:r>
        <w:separator/>
      </w:r>
    </w:p>
  </w:endnote>
  <w:endnote w:type="continuationSeparator" w:id="0">
    <w:p w14:paraId="528C8CFA" w14:textId="77777777" w:rsidR="00F16779" w:rsidRDefault="00F16779"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928A7" w14:textId="77777777" w:rsidR="00F16779" w:rsidRDefault="00F16779" w:rsidP="00431340">
      <w:pPr>
        <w:spacing w:after="0" w:line="240" w:lineRule="auto"/>
      </w:pPr>
      <w:r>
        <w:separator/>
      </w:r>
    </w:p>
  </w:footnote>
  <w:footnote w:type="continuationSeparator" w:id="0">
    <w:p w14:paraId="59D62267" w14:textId="77777777" w:rsidR="00F16779" w:rsidRDefault="00F16779" w:rsidP="0043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42CEF"/>
    <w:rsid w:val="00117C62"/>
    <w:rsid w:val="001C51B3"/>
    <w:rsid w:val="00234209"/>
    <w:rsid w:val="002537DA"/>
    <w:rsid w:val="00261B1B"/>
    <w:rsid w:val="002A0A1C"/>
    <w:rsid w:val="002A2B3C"/>
    <w:rsid w:val="00307491"/>
    <w:rsid w:val="00331D1F"/>
    <w:rsid w:val="00372579"/>
    <w:rsid w:val="00397E79"/>
    <w:rsid w:val="003B0ABD"/>
    <w:rsid w:val="003E296F"/>
    <w:rsid w:val="00431340"/>
    <w:rsid w:val="00490529"/>
    <w:rsid w:val="004B7E87"/>
    <w:rsid w:val="004C7508"/>
    <w:rsid w:val="004D1125"/>
    <w:rsid w:val="00531C5D"/>
    <w:rsid w:val="0059506C"/>
    <w:rsid w:val="005B77D8"/>
    <w:rsid w:val="006065D5"/>
    <w:rsid w:val="0063119A"/>
    <w:rsid w:val="00646E7D"/>
    <w:rsid w:val="00654033"/>
    <w:rsid w:val="00665C88"/>
    <w:rsid w:val="00673656"/>
    <w:rsid w:val="006D3652"/>
    <w:rsid w:val="0070599D"/>
    <w:rsid w:val="00731C92"/>
    <w:rsid w:val="007537C6"/>
    <w:rsid w:val="007679DD"/>
    <w:rsid w:val="00772B06"/>
    <w:rsid w:val="007752C7"/>
    <w:rsid w:val="0078067E"/>
    <w:rsid w:val="00781D43"/>
    <w:rsid w:val="007F67F5"/>
    <w:rsid w:val="00827794"/>
    <w:rsid w:val="0089473C"/>
    <w:rsid w:val="008A2E82"/>
    <w:rsid w:val="00901D55"/>
    <w:rsid w:val="009364C4"/>
    <w:rsid w:val="009A3210"/>
    <w:rsid w:val="009C5188"/>
    <w:rsid w:val="009C71BA"/>
    <w:rsid w:val="00BE265A"/>
    <w:rsid w:val="00BF77A7"/>
    <w:rsid w:val="00C17F75"/>
    <w:rsid w:val="00C4616B"/>
    <w:rsid w:val="00C67487"/>
    <w:rsid w:val="00C87772"/>
    <w:rsid w:val="00CC179B"/>
    <w:rsid w:val="00D06D36"/>
    <w:rsid w:val="00D10E69"/>
    <w:rsid w:val="00D753D4"/>
    <w:rsid w:val="00D8070E"/>
    <w:rsid w:val="00DD4FF9"/>
    <w:rsid w:val="00EA0AFF"/>
    <w:rsid w:val="00ED4DB5"/>
    <w:rsid w:val="00F16779"/>
    <w:rsid w:val="00F55548"/>
    <w:rsid w:val="00F96862"/>
  </w:rsids>
  <m:mathPr>
    <m:mathFont m:val="Cambria Math"/>
    <m:brkBin m:val="before"/>
    <m:brkBinSub m:val="--"/>
    <m:smallFrac m:val="0"/>
    <m:dispDef/>
    <m:lMargin m:val="0"/>
    <m:rMargin m:val="0"/>
    <m:defJc m:val="centerGroup"/>
    <m:wrapIndent m:val="1440"/>
    <m:intLim m:val="subSup"/>
    <m:naryLim m:val="undOvr"/>
  </m:mathPr>
  <w:themeFontLang w:val="nb-NO"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 w:type="character" w:styleId="Strong">
    <w:name w:val="Strong"/>
    <w:uiPriority w:val="22"/>
    <w:qFormat/>
    <w:rsid w:val="00531C5D"/>
    <w:rPr>
      <w:b/>
      <w:bCs/>
    </w:rPr>
  </w:style>
  <w:style w:type="paragraph" w:customStyle="1" w:styleId="EndNoteBibliography">
    <w:name w:val="EndNote Bibliography"/>
    <w:basedOn w:val="Normal"/>
    <w:link w:val="EndNoteBibliographyChar"/>
    <w:rsid w:val="00ED4DB5"/>
    <w:pPr>
      <w:spacing w:after="200" w:line="240" w:lineRule="auto"/>
      <w:jc w:val="lowKashida"/>
    </w:pPr>
    <w:rPr>
      <w:rFonts w:ascii="Calibri" w:eastAsia="SimSun" w:hAnsi="Calibri" w:cs="Calibri"/>
      <w:noProof/>
      <w:kern w:val="2"/>
      <w:lang w:val="en-US"/>
      <w14:ligatures w14:val="standardContextual"/>
    </w:rPr>
  </w:style>
  <w:style w:type="character" w:customStyle="1" w:styleId="EndNoteBibliographyChar">
    <w:name w:val="EndNote Bibliography Char"/>
    <w:basedOn w:val="DefaultParagraphFont"/>
    <w:link w:val="EndNoteBibliography"/>
    <w:rsid w:val="00ED4DB5"/>
    <w:rPr>
      <w:rFonts w:ascii="Calibri" w:eastAsia="SimSun" w:hAnsi="Calibri" w:cs="Calibri"/>
      <w:noProof/>
      <w:kern w:val="2"/>
      <w:lang w:val="en-US"/>
      <w14:ligatures w14:val="standardContextual"/>
    </w:rPr>
  </w:style>
  <w:style w:type="paragraph" w:styleId="NoSpacing">
    <w:name w:val="No Spacing"/>
    <w:uiPriority w:val="1"/>
    <w:qFormat/>
    <w:rsid w:val="007F67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2.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3.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4.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539</Words>
  <Characters>3075</Characters>
  <Application>Microsoft Office Word</Application>
  <DocSecurity>0</DocSecurity>
  <Lines>25</Lines>
  <Paragraphs>7</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Kiattisak Duangmal</cp:lastModifiedBy>
  <cp:revision>2</cp:revision>
  <dcterms:created xsi:type="dcterms:W3CDTF">2026-04-29T06:21:00Z</dcterms:created>
  <dcterms:modified xsi:type="dcterms:W3CDTF">2026-04-29T06:21:00Z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