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7F83149F" w:rsidR="00431340" w:rsidRPr="007D1BE6" w:rsidRDefault="007D1BE6" w:rsidP="00C67487">
      <w:pPr>
        <w:pStyle w:val="Els-Title"/>
        <w:rPr>
          <w:rFonts w:eastAsia="游明朝" w:hint="eastAsia"/>
          <w:lang w:eastAsia="ja-JP"/>
        </w:rPr>
      </w:pPr>
      <w:r w:rsidRPr="007D1BE6">
        <w:t xml:space="preserve">Establishment of a Fully Food-Grade Cultivation System for </w:t>
      </w:r>
      <w:r>
        <w:rPr>
          <w:rFonts w:eastAsia="游明朝"/>
          <w:lang w:eastAsia="ja-JP"/>
        </w:rPr>
        <w:br/>
      </w:r>
      <w:r w:rsidRPr="007D1BE6">
        <w:t>Scalable and Resilient Cultivated Meat Production</w:t>
      </w:r>
      <w:r>
        <w:t xml:space="preserve"> </w:t>
      </w:r>
    </w:p>
    <w:p w14:paraId="5342D5C1" w14:textId="4E197F87" w:rsidR="00673656" w:rsidRPr="007D1BE6" w:rsidRDefault="007D1BE6" w:rsidP="00D83727">
      <w:pPr>
        <w:pStyle w:val="Els-Author"/>
        <w:ind w:right="2"/>
        <w:rPr>
          <w:rFonts w:eastAsia="游明朝" w:hint="eastAsia"/>
          <w:sz w:val="24"/>
          <w:szCs w:val="24"/>
          <w:lang w:eastAsia="ja-JP"/>
        </w:rPr>
        <w:sectPr w:rsidR="00673656" w:rsidRPr="007D1BE6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eastAsia="游明朝" w:hint="eastAsia"/>
          <w:sz w:val="24"/>
          <w:szCs w:val="24"/>
          <w:lang w:val="nb-NO" w:eastAsia="ja-JP"/>
        </w:rPr>
        <w:t>Y. Hanyu</w:t>
      </w:r>
      <w:r w:rsidRPr="007D1BE6">
        <w:rPr>
          <w:sz w:val="24"/>
          <w:szCs w:val="24"/>
          <w:vertAlign w:val="superscript"/>
          <w:lang w:val="nb-NO"/>
        </w:rPr>
        <w:t xml:space="preserve"> </w:t>
      </w:r>
      <w:r w:rsidRPr="00186D3A">
        <w:rPr>
          <w:sz w:val="24"/>
          <w:szCs w:val="24"/>
          <w:vertAlign w:val="superscript"/>
          <w:lang w:val="nb-NO"/>
        </w:rPr>
        <w:t>a</w:t>
      </w:r>
      <w:r w:rsidRPr="00186D3A">
        <w:rPr>
          <w:sz w:val="24"/>
          <w:szCs w:val="24"/>
          <w:vertAlign w:val="superscript"/>
        </w:rPr>
        <w:footnoteReference w:id="1"/>
      </w:r>
      <w:r>
        <w:rPr>
          <w:rFonts w:eastAsia="游明朝" w:hint="eastAsia"/>
          <w:sz w:val="24"/>
          <w:szCs w:val="24"/>
          <w:lang w:val="nb-NO" w:eastAsia="ja-JP"/>
        </w:rPr>
        <w:t xml:space="preserve">, </w:t>
      </w:r>
      <w:r w:rsidR="002036C0">
        <w:rPr>
          <w:rFonts w:eastAsia="游明朝" w:hint="eastAsia"/>
          <w:sz w:val="24"/>
          <w:szCs w:val="24"/>
          <w:lang w:val="nb-NO" w:eastAsia="ja-JP"/>
        </w:rPr>
        <w:t>H. Hatano</w:t>
      </w:r>
      <w:r w:rsidR="002036C0" w:rsidRPr="00024879">
        <w:rPr>
          <w:sz w:val="24"/>
          <w:szCs w:val="24"/>
          <w:vertAlign w:val="superscript"/>
          <w:lang w:val="nb-NO"/>
        </w:rPr>
        <w:t xml:space="preserve"> </w:t>
      </w:r>
      <w:r w:rsidR="002036C0" w:rsidRPr="00186D3A">
        <w:rPr>
          <w:sz w:val="24"/>
          <w:szCs w:val="24"/>
          <w:vertAlign w:val="superscript"/>
          <w:lang w:val="nb-NO"/>
        </w:rPr>
        <w:t>a</w:t>
      </w:r>
      <w:r w:rsidR="002036C0">
        <w:rPr>
          <w:rFonts w:eastAsia="游明朝" w:hint="eastAsia"/>
          <w:sz w:val="24"/>
          <w:szCs w:val="24"/>
          <w:lang w:val="nb-NO" w:eastAsia="ja-JP"/>
        </w:rPr>
        <w:t>, H. Kondo</w:t>
      </w:r>
      <w:r w:rsidR="002036C0" w:rsidRPr="002036C0">
        <w:rPr>
          <w:sz w:val="24"/>
          <w:szCs w:val="24"/>
          <w:vertAlign w:val="superscript"/>
          <w:lang w:val="nb-NO"/>
        </w:rPr>
        <w:t xml:space="preserve"> </w:t>
      </w:r>
      <w:r w:rsidR="002036C0" w:rsidRPr="00186D3A">
        <w:rPr>
          <w:sz w:val="24"/>
          <w:szCs w:val="24"/>
          <w:vertAlign w:val="superscript"/>
          <w:lang w:val="nb-NO"/>
        </w:rPr>
        <w:t>a</w:t>
      </w:r>
      <w:r w:rsidR="002036C0">
        <w:rPr>
          <w:rFonts w:eastAsia="游明朝" w:hint="eastAsia"/>
          <w:sz w:val="24"/>
          <w:szCs w:val="24"/>
          <w:lang w:val="nb-NO" w:eastAsia="ja-JP"/>
        </w:rPr>
        <w:t>, M. Yui</w:t>
      </w:r>
      <w:r w:rsidR="002036C0" w:rsidRPr="002036C0">
        <w:rPr>
          <w:sz w:val="24"/>
          <w:szCs w:val="24"/>
          <w:vertAlign w:val="superscript"/>
          <w:lang w:val="nb-NO"/>
        </w:rPr>
        <w:t xml:space="preserve"> </w:t>
      </w:r>
      <w:r w:rsidR="002036C0" w:rsidRPr="00186D3A">
        <w:rPr>
          <w:sz w:val="24"/>
          <w:szCs w:val="24"/>
          <w:vertAlign w:val="superscript"/>
          <w:lang w:val="nb-NO"/>
        </w:rPr>
        <w:t>a</w:t>
      </w:r>
      <w:r w:rsidR="002036C0">
        <w:rPr>
          <w:rFonts w:eastAsia="游明朝" w:hint="eastAsia"/>
          <w:sz w:val="24"/>
          <w:szCs w:val="24"/>
          <w:lang w:val="nb-NO" w:eastAsia="ja-JP"/>
        </w:rPr>
        <w:t xml:space="preserve"> </w:t>
      </w:r>
      <w:r w:rsidR="00933148" w:rsidRPr="00186D3A">
        <w:rPr>
          <w:sz w:val="24"/>
          <w:szCs w:val="24"/>
        </w:rPr>
        <w:t>I. Kawashima</w:t>
      </w:r>
      <w:r w:rsidR="00024879" w:rsidRPr="00024879">
        <w:rPr>
          <w:sz w:val="24"/>
          <w:szCs w:val="24"/>
          <w:vertAlign w:val="superscript"/>
          <w:lang w:val="nb-NO"/>
        </w:rPr>
        <w:t xml:space="preserve"> </w:t>
      </w:r>
      <w:r w:rsidR="00024879" w:rsidRPr="00186D3A">
        <w:rPr>
          <w:sz w:val="24"/>
          <w:szCs w:val="24"/>
          <w:vertAlign w:val="superscript"/>
          <w:lang w:val="nb-NO"/>
        </w:rPr>
        <w:t>a</w:t>
      </w:r>
      <w:r w:rsidR="00832218" w:rsidRPr="00832218">
        <w:rPr>
          <w:sz w:val="24"/>
          <w:szCs w:val="24"/>
        </w:rPr>
        <w:t xml:space="preserve"> </w:t>
      </w:r>
    </w:p>
    <w:p w14:paraId="7E01F92A" w14:textId="766B45A7" w:rsidR="005F62D6" w:rsidRPr="005F62D6" w:rsidRDefault="004C7508" w:rsidP="005F62D6">
      <w:pPr>
        <w:pStyle w:val="Els-Affiliation"/>
        <w:rPr>
          <w:lang w:val="nb-NO"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FC0AA7">
        <w:rPr>
          <w:lang w:val="nb-NO"/>
        </w:rPr>
        <w:t>Integriculture</w:t>
      </w:r>
      <w:r w:rsidRPr="00234209">
        <w:rPr>
          <w:lang w:val="nb-NO"/>
        </w:rPr>
        <w:t xml:space="preserve"> </w:t>
      </w:r>
      <w:r w:rsidR="00FC0AA7">
        <w:rPr>
          <w:lang w:val="nb-NO"/>
        </w:rPr>
        <w:t>(will be revised)</w:t>
      </w:r>
      <w:r w:rsidR="005F62D6" w:rsidRPr="005F62D6">
        <w:t xml:space="preserve"> </w:t>
      </w:r>
      <w:r w:rsidR="005F62D6" w:rsidRPr="005F62D6">
        <w:rPr>
          <w:lang w:val="nb-NO"/>
        </w:rPr>
        <w:t>a IntegriCulture Inc., Shonan Health Innovation Park A32F 3111, 2-26-1 Muraokahigashi, Fujisawa, Kanagawa 251-8555, Japan</w:t>
      </w:r>
    </w:p>
    <w:p w14:paraId="7715227C" w14:textId="77777777" w:rsidR="00431340" w:rsidRPr="00BF77A7" w:rsidRDefault="00431340" w:rsidP="0088263C">
      <w:pPr>
        <w:pStyle w:val="Els-Abstract-head"/>
        <w:spacing w:before="120" w:after="0" w:line="240" w:lineRule="auto"/>
        <w:jc w:val="center"/>
        <w:rPr>
          <w:sz w:val="20"/>
        </w:rPr>
      </w:pPr>
      <w:r w:rsidRPr="00BF77A7">
        <w:rPr>
          <w:sz w:val="20"/>
        </w:rPr>
        <w:t>Abstract</w:t>
      </w:r>
    </w:p>
    <w:p w14:paraId="469C8D29" w14:textId="7ECBD833" w:rsidR="007D1BE6" w:rsidRPr="007D1BE6" w:rsidRDefault="007D1BE6" w:rsidP="007D1BE6">
      <w:pPr>
        <w:pStyle w:val="Els-keywords"/>
        <w:pBdr>
          <w:bottom w:val="single" w:sz="4" w:space="31" w:color="auto"/>
        </w:pBdr>
        <w:spacing w:after="120" w:line="240" w:lineRule="auto"/>
        <w:rPr>
          <w:rFonts w:eastAsia="游明朝" w:hint="eastAsia"/>
          <w:noProof w:val="0"/>
          <w:sz w:val="20"/>
          <w:lang w:eastAsia="ja-JP"/>
        </w:rPr>
      </w:pPr>
      <w:r w:rsidRPr="007D1BE6">
        <w:rPr>
          <w:noProof w:val="0"/>
          <w:sz w:val="20"/>
        </w:rPr>
        <w:t>Advancements in cellular agriculture are hindered by a reliance on laboratory-grade reagents and hardware that fail to meet food safety standards. To bridge the gap between research and industrial scaling, a transition to comprehensive food-grade systems is essential [</w:t>
      </w:r>
      <w:r>
        <w:rPr>
          <w:rFonts w:eastAsia="游明朝" w:hint="eastAsia"/>
          <w:noProof w:val="0"/>
          <w:sz w:val="20"/>
          <w:lang w:eastAsia="ja-JP"/>
        </w:rPr>
        <w:t>1</w:t>
      </w:r>
      <w:r w:rsidRPr="007D1BE6">
        <w:rPr>
          <w:noProof w:val="0"/>
          <w:sz w:val="20"/>
        </w:rPr>
        <w:t>]. We addressed this by developing a full suite of food-grade cultivation assets—including basal media (I-MEM), serum replacements, and dissociation enzymes—demonstrating parity in cell growth compared to pharmaceutical-grade reagents [</w:t>
      </w:r>
      <w:r>
        <w:rPr>
          <w:rFonts w:eastAsia="游明朝" w:hint="eastAsia"/>
          <w:noProof w:val="0"/>
          <w:sz w:val="20"/>
          <w:lang w:eastAsia="ja-JP"/>
        </w:rPr>
        <w:t>2</w:t>
      </w:r>
      <w:r w:rsidRPr="007D1BE6">
        <w:rPr>
          <w:noProof w:val="0"/>
          <w:sz w:val="20"/>
        </w:rPr>
        <w:t>].</w:t>
      </w:r>
    </w:p>
    <w:p w14:paraId="7AEF3728" w14:textId="364006C9" w:rsidR="007D1BE6" w:rsidRPr="007D1BE6" w:rsidRDefault="007D1BE6" w:rsidP="007D1BE6">
      <w:pPr>
        <w:pStyle w:val="Els-keywords"/>
        <w:pBdr>
          <w:bottom w:val="single" w:sz="4" w:space="31" w:color="auto"/>
        </w:pBdr>
        <w:spacing w:after="120" w:line="240" w:lineRule="auto"/>
        <w:rPr>
          <w:rFonts w:eastAsia="游明朝" w:hint="eastAsia"/>
          <w:noProof w:val="0"/>
          <w:sz w:val="20"/>
          <w:lang w:eastAsia="ja-JP"/>
        </w:rPr>
      </w:pPr>
      <w:r w:rsidRPr="007D1BE6">
        <w:rPr>
          <w:noProof w:val="0"/>
          <w:sz w:val="20"/>
        </w:rPr>
        <w:t>Our methodology integrates these materials with primary livestock and spontaneously immortalized cell lines. By optimizing cell expansion on flasks coated with food-grade agents during pre-culture, followed by adherent culture on edible scaffolds during the main culture phase, we established a safety-verified three-step process: proliferative cell selection, packed-bed bioreactor expansion, and final processing [</w:t>
      </w:r>
      <w:r>
        <w:rPr>
          <w:rFonts w:eastAsia="游明朝" w:hint="eastAsia"/>
          <w:noProof w:val="0"/>
          <w:sz w:val="20"/>
          <w:lang w:eastAsia="ja-JP"/>
        </w:rPr>
        <w:t>3</w:t>
      </w:r>
      <w:r w:rsidRPr="007D1BE6">
        <w:rPr>
          <w:noProof w:val="0"/>
          <w:sz w:val="20"/>
        </w:rPr>
        <w:t>]. This allows cell-laden scaffolds to be directly incorporated into food products, significantly enhancing production efficiency.</w:t>
      </w:r>
    </w:p>
    <w:p w14:paraId="42CABFA1" w14:textId="044AC3F2" w:rsidR="007D1BE6" w:rsidRPr="007D1BE6" w:rsidRDefault="007D1BE6" w:rsidP="007D1BE6">
      <w:pPr>
        <w:pStyle w:val="Els-keywords"/>
        <w:pBdr>
          <w:bottom w:val="single" w:sz="4" w:space="31" w:color="auto"/>
        </w:pBdr>
        <w:spacing w:after="120" w:line="240" w:lineRule="auto"/>
        <w:rPr>
          <w:rFonts w:eastAsia="游明朝"/>
          <w:noProof w:val="0"/>
          <w:sz w:val="20"/>
          <w:lang w:eastAsia="ja-JP"/>
        </w:rPr>
      </w:pPr>
      <w:r w:rsidRPr="007D1BE6">
        <w:rPr>
          <w:noProof w:val="0"/>
          <w:sz w:val="20"/>
        </w:rPr>
        <w:t>Using this fully food-grade production process, we achieved a stable production capacity of 8 kg of cultivated meat per month. In February 2025, sensory evaluations in Japan confirmed the product's viability, marking a technically reliable foundation for cellular agriculture. We are currently advancing toward regulatory approval in Japan and Singapore to ensure the commercial transition of this technology.</w:t>
      </w:r>
    </w:p>
    <w:p w14:paraId="0AE07FD0" w14:textId="5908D470" w:rsidR="002A0A1C" w:rsidRPr="00C67487" w:rsidRDefault="002A0A1C" w:rsidP="007D1BE6">
      <w:pPr>
        <w:pStyle w:val="Els-keywords"/>
        <w:pBdr>
          <w:bottom w:val="single" w:sz="4" w:space="31" w:color="auto"/>
        </w:pBdr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770D7987" w14:textId="0BDA13F4" w:rsidR="00411CFF" w:rsidRDefault="002A0A1C" w:rsidP="0020065C">
      <w:pPr>
        <w:pStyle w:val="Els-keywords"/>
        <w:pBdr>
          <w:bottom w:val="single" w:sz="4" w:space="31" w:color="auto"/>
        </w:pBdr>
        <w:spacing w:after="120" w:line="240" w:lineRule="auto"/>
        <w:rPr>
          <w:rFonts w:eastAsia="游明朝"/>
          <w:sz w:val="20"/>
          <w:lang w:eastAsia="ja-JP"/>
        </w:rPr>
      </w:pPr>
      <w:r w:rsidRPr="00C67487">
        <w:rPr>
          <w:sz w:val="20"/>
        </w:rPr>
        <w:t xml:space="preserve">[1] </w:t>
      </w:r>
      <w:r w:rsidR="00400B31" w:rsidRPr="00400B31">
        <w:rPr>
          <w:sz w:val="20"/>
          <w:lang w:val="nb-NO"/>
        </w:rPr>
        <w:t>Post, M. J., et al. (2020). Scientific, sustainability and regulatory challenges of cultured meat. Nature Food, 1, 403-415.</w:t>
      </w:r>
    </w:p>
    <w:p w14:paraId="422C81CD" w14:textId="2D773F63" w:rsidR="0020065C" w:rsidRPr="0020065C" w:rsidRDefault="0020065C" w:rsidP="0020065C">
      <w:pPr>
        <w:pStyle w:val="Els-keywords"/>
        <w:pBdr>
          <w:bottom w:val="single" w:sz="4" w:space="31" w:color="auto"/>
        </w:pBdr>
        <w:spacing w:after="120" w:line="240" w:lineRule="auto"/>
        <w:rPr>
          <w:rFonts w:eastAsia="游明朝"/>
          <w:sz w:val="20"/>
          <w:lang w:val="nb-NO" w:eastAsia="ja-JP"/>
        </w:rPr>
      </w:pPr>
      <w:r>
        <w:rPr>
          <w:rFonts w:asciiTheme="minorHAnsi" w:eastAsia="ＭＳ 明朝" w:hAnsiTheme="minorHAnsi" w:cstheme="minorBidi" w:hint="eastAsia"/>
          <w:noProof w:val="0"/>
          <w:sz w:val="22"/>
          <w:szCs w:val="22"/>
          <w:lang w:val="nb-NO" w:eastAsia="ja-JP"/>
        </w:rPr>
        <w:t xml:space="preserve">[2] </w:t>
      </w:r>
      <w:r w:rsidR="00400B31" w:rsidRPr="00400B31">
        <w:rPr>
          <w:sz w:val="20"/>
          <w:lang w:val="nb-NO"/>
        </w:rPr>
        <w:t>Kanayama, T., et al. (2022). Improving the Safety of Cultured Meat Using Basal Medium Prepared using Food Ingredients. bioRxiv, doi:10.1101/2022.03.28.486069.</w:t>
      </w:r>
      <w:r w:rsidR="00400B31">
        <w:rPr>
          <w:rFonts w:eastAsia="游明朝"/>
          <w:sz w:val="20"/>
          <w:lang w:val="nb-NO" w:eastAsia="ja-JP"/>
        </w:rPr>
        <w:br/>
      </w:r>
      <w:r w:rsidR="00400B31">
        <w:rPr>
          <w:rFonts w:eastAsia="游明朝"/>
          <w:sz w:val="20"/>
          <w:lang w:val="nb-NO" w:eastAsia="ja-JP"/>
        </w:rPr>
        <w:br/>
      </w:r>
      <w:r w:rsidR="00A02182" w:rsidRPr="00C67487">
        <w:rPr>
          <w:sz w:val="20"/>
        </w:rPr>
        <w:t>[</w:t>
      </w:r>
      <w:r w:rsidR="00400B31">
        <w:rPr>
          <w:rFonts w:eastAsia="游明朝" w:hint="eastAsia"/>
          <w:sz w:val="20"/>
          <w:lang w:eastAsia="ja-JP"/>
        </w:rPr>
        <w:t>3</w:t>
      </w:r>
      <w:r w:rsidR="00A02182" w:rsidRPr="00C67487">
        <w:rPr>
          <w:sz w:val="20"/>
        </w:rPr>
        <w:t>]</w:t>
      </w:r>
      <w:r w:rsidR="00A02182">
        <w:rPr>
          <w:sz w:val="20"/>
        </w:rPr>
        <w:t xml:space="preserve"> </w:t>
      </w:r>
      <w:r w:rsidR="00400B31" w:rsidRPr="00400B31">
        <w:rPr>
          <w:sz w:val="20"/>
          <w:lang w:val="nb-NO"/>
        </w:rPr>
        <w:t>Hatano, H., et al. (2026). An integrated scalable process for adherent cultivated meat production: From proliferative cell selection to safety-verified product development. bioRxiv, doi:10.64898/2026.01.08.698307.</w:t>
      </w:r>
    </w:p>
    <w:p w14:paraId="583CC102" w14:textId="77777777" w:rsidR="0020065C" w:rsidRPr="0020065C" w:rsidRDefault="0020065C" w:rsidP="0020065C">
      <w:pPr>
        <w:rPr>
          <w:lang w:eastAsia="ja-JP"/>
        </w:rPr>
      </w:pPr>
    </w:p>
    <w:sectPr w:rsidR="0020065C" w:rsidRPr="0020065C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D5780" w14:textId="77777777" w:rsidR="00BB67C7" w:rsidRDefault="00BB67C7" w:rsidP="00431340">
      <w:pPr>
        <w:spacing w:after="0" w:line="240" w:lineRule="auto"/>
      </w:pPr>
      <w:r>
        <w:separator/>
      </w:r>
    </w:p>
  </w:endnote>
  <w:endnote w:type="continuationSeparator" w:id="0">
    <w:p w14:paraId="63703AA0" w14:textId="77777777" w:rsidR="00BB67C7" w:rsidRDefault="00BB67C7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A399A" w14:textId="77777777" w:rsidR="00BB67C7" w:rsidRDefault="00BB67C7" w:rsidP="00431340">
      <w:pPr>
        <w:spacing w:after="0" w:line="240" w:lineRule="auto"/>
      </w:pPr>
      <w:r>
        <w:separator/>
      </w:r>
    </w:p>
  </w:footnote>
  <w:footnote w:type="continuationSeparator" w:id="0">
    <w:p w14:paraId="2125841D" w14:textId="77777777" w:rsidR="00BB67C7" w:rsidRDefault="00BB67C7" w:rsidP="00431340">
      <w:pPr>
        <w:spacing w:after="0" w:line="240" w:lineRule="auto"/>
      </w:pPr>
      <w:r>
        <w:continuationSeparator/>
      </w:r>
    </w:p>
  </w:footnote>
  <w:footnote w:id="1">
    <w:p w14:paraId="6C9BC5E1" w14:textId="6F6BB9E0" w:rsidR="007D1BE6" w:rsidRPr="00BF77A7" w:rsidRDefault="007D1BE6" w:rsidP="007D1BE6">
      <w:pPr>
        <w:pStyle w:val="Els-footnote"/>
        <w:ind w:firstLine="120"/>
        <w:rPr>
          <w:sz w:val="18"/>
          <w:szCs w:val="18"/>
        </w:rPr>
      </w:pPr>
      <w:r w:rsidRPr="00BF77A7">
        <w:rPr>
          <w:sz w:val="18"/>
          <w:szCs w:val="18"/>
        </w:rPr>
        <w:t xml:space="preserve">* 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r w:rsidR="00400B31">
        <w:rPr>
          <w:rFonts w:eastAsia="游明朝" w:hint="eastAsia"/>
          <w:sz w:val="18"/>
          <w:szCs w:val="18"/>
          <w:lang w:val="nb-NO" w:eastAsia="ja-JP"/>
        </w:rPr>
        <w:t>yuki</w:t>
      </w:r>
      <w:r>
        <w:rPr>
          <w:sz w:val="18"/>
          <w:szCs w:val="18"/>
          <w:lang w:val="nb-NO"/>
        </w:rPr>
        <w:t>@integriculture.com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24879"/>
    <w:rsid w:val="00051D3B"/>
    <w:rsid w:val="000F6C84"/>
    <w:rsid w:val="001048E7"/>
    <w:rsid w:val="00112331"/>
    <w:rsid w:val="00186D3A"/>
    <w:rsid w:val="00195288"/>
    <w:rsid w:val="001A0542"/>
    <w:rsid w:val="001C51B3"/>
    <w:rsid w:val="0020065C"/>
    <w:rsid w:val="002036C0"/>
    <w:rsid w:val="00234209"/>
    <w:rsid w:val="002537DA"/>
    <w:rsid w:val="002A0A1C"/>
    <w:rsid w:val="002A2B3C"/>
    <w:rsid w:val="002D3D55"/>
    <w:rsid w:val="00303875"/>
    <w:rsid w:val="00372579"/>
    <w:rsid w:val="003B0ABD"/>
    <w:rsid w:val="003C743F"/>
    <w:rsid w:val="00400B31"/>
    <w:rsid w:val="00411CFF"/>
    <w:rsid w:val="00431340"/>
    <w:rsid w:val="00433369"/>
    <w:rsid w:val="004368FB"/>
    <w:rsid w:val="00443452"/>
    <w:rsid w:val="0048244A"/>
    <w:rsid w:val="004B7E87"/>
    <w:rsid w:val="004C7508"/>
    <w:rsid w:val="004D1125"/>
    <w:rsid w:val="004D3D2C"/>
    <w:rsid w:val="0059506C"/>
    <w:rsid w:val="005B77D8"/>
    <w:rsid w:val="005F62D6"/>
    <w:rsid w:val="00646E7D"/>
    <w:rsid w:val="00654033"/>
    <w:rsid w:val="00665C88"/>
    <w:rsid w:val="00673656"/>
    <w:rsid w:val="00676A10"/>
    <w:rsid w:val="006C2C50"/>
    <w:rsid w:val="006D3652"/>
    <w:rsid w:val="0070599D"/>
    <w:rsid w:val="0073020F"/>
    <w:rsid w:val="007327F8"/>
    <w:rsid w:val="00744302"/>
    <w:rsid w:val="007679DD"/>
    <w:rsid w:val="00772B06"/>
    <w:rsid w:val="007752C7"/>
    <w:rsid w:val="0078067E"/>
    <w:rsid w:val="00781D43"/>
    <w:rsid w:val="007A5D74"/>
    <w:rsid w:val="007D1BE6"/>
    <w:rsid w:val="008231CF"/>
    <w:rsid w:val="00827794"/>
    <w:rsid w:val="00832218"/>
    <w:rsid w:val="0088263C"/>
    <w:rsid w:val="008E7BDE"/>
    <w:rsid w:val="00933148"/>
    <w:rsid w:val="009551CE"/>
    <w:rsid w:val="00995B99"/>
    <w:rsid w:val="009C71BA"/>
    <w:rsid w:val="00A02182"/>
    <w:rsid w:val="00A763C0"/>
    <w:rsid w:val="00A91CAC"/>
    <w:rsid w:val="00AF0373"/>
    <w:rsid w:val="00AF0D36"/>
    <w:rsid w:val="00BA2609"/>
    <w:rsid w:val="00BB67C7"/>
    <w:rsid w:val="00BB75A0"/>
    <w:rsid w:val="00BE265A"/>
    <w:rsid w:val="00BF77A7"/>
    <w:rsid w:val="00C13A32"/>
    <w:rsid w:val="00C17F75"/>
    <w:rsid w:val="00C4616B"/>
    <w:rsid w:val="00C662E1"/>
    <w:rsid w:val="00C67487"/>
    <w:rsid w:val="00CB20A9"/>
    <w:rsid w:val="00CC179B"/>
    <w:rsid w:val="00D10E69"/>
    <w:rsid w:val="00D41090"/>
    <w:rsid w:val="00D53595"/>
    <w:rsid w:val="00D753D4"/>
    <w:rsid w:val="00D83727"/>
    <w:rsid w:val="00DD4FF9"/>
    <w:rsid w:val="00E01250"/>
    <w:rsid w:val="00E47A90"/>
    <w:rsid w:val="00E56418"/>
    <w:rsid w:val="00EA7AB5"/>
    <w:rsid w:val="00EF1AC5"/>
    <w:rsid w:val="00F25CC7"/>
    <w:rsid w:val="00F55548"/>
    <w:rsid w:val="00FC0AA7"/>
    <w:rsid w:val="00FC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ls-Abstract-head">
    <w:name w:val="Els-Abstract-head"/>
    <w:next w:val="a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a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a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a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a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a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a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a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D10E69"/>
  </w:style>
  <w:style w:type="paragraph" w:styleId="a5">
    <w:name w:val="footer"/>
    <w:basedOn w:val="a"/>
    <w:link w:val="a6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D1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Props1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NTNU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Megumi Yui</cp:lastModifiedBy>
  <cp:revision>2</cp:revision>
  <dcterms:created xsi:type="dcterms:W3CDTF">2026-04-30T03:23:00Z</dcterms:created>
  <dcterms:modified xsi:type="dcterms:W3CDTF">2026-04-30T03:23:00Z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