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B32D9" w14:textId="77777777" w:rsidR="00D84795" w:rsidRDefault="00D84795" w:rsidP="00D84795">
      <w:pPr>
        <w:pStyle w:val="DocHead"/>
        <w:spacing w:before="0" w:after="0"/>
        <w:ind w:left="-119" w:right="-136" w:firstLine="119"/>
      </w:pPr>
      <w:r>
        <w:t>SIFF 2026</w:t>
      </w:r>
    </w:p>
    <w:p w14:paraId="546AAC43" w14:textId="77777777" w:rsidR="00D84795" w:rsidRDefault="00D84795" w:rsidP="00D84795">
      <w:pPr>
        <w:pStyle w:val="DocHead"/>
        <w:spacing w:before="0" w:after="0"/>
        <w:ind w:left="-119" w:right="-136" w:firstLine="119"/>
      </w:pPr>
      <w:r>
        <w:t>Singapore International Food Forum 2026</w:t>
      </w:r>
      <w:r>
        <w:br/>
      </w:r>
    </w:p>
    <w:p w14:paraId="1B5F62E1" w14:textId="1D3E35AD" w:rsidR="00D84795" w:rsidRPr="00C67487" w:rsidRDefault="00601DE1" w:rsidP="00D84795">
      <w:pPr>
        <w:pStyle w:val="Els-Title"/>
      </w:pPr>
      <w:r>
        <w:t xml:space="preserve">Paradigm Shift in </w:t>
      </w:r>
      <w:r w:rsidR="00D84795">
        <w:t xml:space="preserve">Food Safety Assessment: </w:t>
      </w:r>
      <w:r w:rsidR="00D84795" w:rsidRPr="003C186B">
        <w:rPr>
          <w:b/>
          <w:bCs/>
        </w:rPr>
        <w:t>B</w:t>
      </w:r>
      <w:r w:rsidR="00D84795">
        <w:t xml:space="preserve">iomonitoring for </w:t>
      </w:r>
      <w:r w:rsidR="00D84795" w:rsidRPr="003C186B">
        <w:rPr>
          <w:b/>
          <w:bCs/>
        </w:rPr>
        <w:t>E</w:t>
      </w:r>
      <w:r w:rsidR="00D84795">
        <w:t xml:space="preserve">xposure </w:t>
      </w:r>
      <w:r w:rsidR="00D84795" w:rsidRPr="003C186B">
        <w:rPr>
          <w:b/>
          <w:bCs/>
        </w:rPr>
        <w:t>A</w:t>
      </w:r>
      <w:r w:rsidR="00D84795">
        <w:t xml:space="preserve">ssessment of Food Hazards through </w:t>
      </w:r>
      <w:proofErr w:type="spellStart"/>
      <w:r w:rsidR="00D84795" w:rsidRPr="003C186B">
        <w:rPr>
          <w:b/>
          <w:bCs/>
        </w:rPr>
        <w:t>C</w:t>
      </w:r>
      <w:r w:rsidR="00D84795">
        <w:rPr>
          <w:b/>
          <w:bCs/>
        </w:rPr>
        <w:t>O</w:t>
      </w:r>
      <w:r w:rsidR="00D84795">
        <w:t>hort</w:t>
      </w:r>
      <w:proofErr w:type="spellEnd"/>
      <w:r w:rsidR="00D84795">
        <w:t xml:space="preserve"> Studies in </w:t>
      </w:r>
      <w:proofErr w:type="spellStart"/>
      <w:r w:rsidR="00D84795">
        <w:t>Si</w:t>
      </w:r>
      <w:r w:rsidR="00D84795" w:rsidRPr="003C186B">
        <w:rPr>
          <w:b/>
          <w:bCs/>
        </w:rPr>
        <w:t>N</w:t>
      </w:r>
      <w:r w:rsidR="00D84795">
        <w:t>gapore</w:t>
      </w:r>
      <w:proofErr w:type="spellEnd"/>
      <w:r w:rsidR="00D84795">
        <w:t xml:space="preserve"> (BEACON)</w:t>
      </w:r>
    </w:p>
    <w:p w14:paraId="356111BA" w14:textId="4EA2E1D6" w:rsidR="00D84795" w:rsidRPr="008739B0" w:rsidRDefault="00D84795" w:rsidP="00D84795">
      <w:pPr>
        <w:pStyle w:val="Els-Author"/>
        <w:ind w:right="2"/>
        <w:rPr>
          <w:sz w:val="24"/>
          <w:szCs w:val="24"/>
          <w:lang w:val="pt-BR"/>
        </w:rPr>
      </w:pPr>
      <w:r>
        <w:rPr>
          <w:sz w:val="24"/>
          <w:szCs w:val="24"/>
          <w:lang w:val="nb-NO"/>
        </w:rPr>
        <w:t>V.</w:t>
      </w:r>
      <w:r w:rsidRPr="009C71BA">
        <w:rPr>
          <w:sz w:val="24"/>
          <w:szCs w:val="24"/>
          <w:lang w:val="nb-NO"/>
        </w:rPr>
        <w:t xml:space="preserve"> S</w:t>
      </w:r>
      <w:r>
        <w:rPr>
          <w:sz w:val="24"/>
          <w:szCs w:val="24"/>
          <w:lang w:val="nb-NO"/>
        </w:rPr>
        <w:t>in</w:t>
      </w:r>
      <w:r w:rsidRPr="009C71BA">
        <w:rPr>
          <w:sz w:val="24"/>
          <w:szCs w:val="24"/>
          <w:vertAlign w:val="superscript"/>
          <w:lang w:val="nb-NO"/>
        </w:rPr>
        <w:t>a</w:t>
      </w:r>
      <w:r w:rsidRPr="009C71BA">
        <w:rPr>
          <w:sz w:val="24"/>
          <w:szCs w:val="24"/>
          <w:lang w:val="nb-NO"/>
        </w:rPr>
        <w:t xml:space="preserve">, </w:t>
      </w:r>
      <w:r>
        <w:rPr>
          <w:sz w:val="24"/>
          <w:szCs w:val="24"/>
          <w:lang w:val="nb-NO"/>
        </w:rPr>
        <w:t>A. Li</w:t>
      </w:r>
      <w:r>
        <w:rPr>
          <w:sz w:val="24"/>
          <w:szCs w:val="24"/>
          <w:vertAlign w:val="superscript"/>
          <w:lang w:val="nb-NO"/>
        </w:rPr>
        <w:t>a,b</w:t>
      </w:r>
      <w:r>
        <w:rPr>
          <w:sz w:val="24"/>
          <w:szCs w:val="24"/>
          <w:lang w:val="nb-NO"/>
        </w:rPr>
        <w:t xml:space="preserve">, </w:t>
      </w:r>
      <w:r w:rsidR="00EF5A11">
        <w:rPr>
          <w:sz w:val="24"/>
          <w:szCs w:val="24"/>
          <w:lang w:val="nb-NO"/>
        </w:rPr>
        <w:t>S.J. Ong</w:t>
      </w:r>
      <w:r w:rsidR="00EF5A11" w:rsidRPr="009C71BA">
        <w:rPr>
          <w:sz w:val="24"/>
          <w:szCs w:val="24"/>
          <w:vertAlign w:val="superscript"/>
          <w:lang w:val="nb-NO"/>
        </w:rPr>
        <w:t>a</w:t>
      </w:r>
      <w:r w:rsidR="00EF5A11">
        <w:rPr>
          <w:sz w:val="24"/>
          <w:szCs w:val="24"/>
          <w:lang w:val="nb-NO"/>
        </w:rPr>
        <w:t xml:space="preserve">, </w:t>
      </w:r>
      <w:r>
        <w:rPr>
          <w:sz w:val="24"/>
          <w:szCs w:val="24"/>
          <w:lang w:val="nb-NO"/>
        </w:rPr>
        <w:t>A. Cazenave-Gassiot</w:t>
      </w:r>
      <w:r>
        <w:rPr>
          <w:sz w:val="24"/>
          <w:szCs w:val="24"/>
          <w:vertAlign w:val="superscript"/>
          <w:lang w:val="nb-NO"/>
        </w:rPr>
        <w:t>c</w:t>
      </w:r>
      <w:r>
        <w:rPr>
          <w:sz w:val="24"/>
          <w:szCs w:val="24"/>
          <w:lang w:val="nb-NO"/>
        </w:rPr>
        <w:t>, F. Tesio-Torta</w:t>
      </w:r>
      <w:r>
        <w:rPr>
          <w:sz w:val="24"/>
          <w:szCs w:val="24"/>
          <w:vertAlign w:val="superscript"/>
          <w:lang w:val="nb-NO"/>
        </w:rPr>
        <w:t>c</w:t>
      </w:r>
      <w:r>
        <w:rPr>
          <w:sz w:val="24"/>
          <w:szCs w:val="24"/>
          <w:lang w:val="nb-NO"/>
        </w:rPr>
        <w:t>, H. Choi</w:t>
      </w:r>
      <w:r>
        <w:rPr>
          <w:sz w:val="24"/>
          <w:szCs w:val="24"/>
          <w:vertAlign w:val="superscript"/>
          <w:lang w:val="nb-NO"/>
        </w:rPr>
        <w:t>c,d</w:t>
      </w:r>
      <w:r>
        <w:rPr>
          <w:sz w:val="24"/>
          <w:szCs w:val="24"/>
          <w:lang w:val="nb-NO"/>
        </w:rPr>
        <w:t>, M.H. Liu</w:t>
      </w:r>
      <w:r>
        <w:rPr>
          <w:sz w:val="24"/>
          <w:szCs w:val="24"/>
          <w:vertAlign w:val="superscript"/>
          <w:lang w:val="nb-NO"/>
        </w:rPr>
        <w:t>b</w:t>
      </w:r>
      <w:r>
        <w:rPr>
          <w:sz w:val="24"/>
          <w:szCs w:val="24"/>
          <w:lang w:val="nb-NO"/>
        </w:rPr>
        <w:t>, K.T. Aung</w:t>
      </w:r>
      <w:r w:rsidRPr="009C71BA">
        <w:rPr>
          <w:sz w:val="24"/>
          <w:szCs w:val="24"/>
          <w:vertAlign w:val="superscript"/>
          <w:lang w:val="nb-NO"/>
        </w:rPr>
        <w:t>a</w:t>
      </w:r>
      <w:r>
        <w:rPr>
          <w:sz w:val="24"/>
          <w:szCs w:val="24"/>
          <w:vertAlign w:val="superscript"/>
          <w:lang w:val="nb-NO"/>
        </w:rPr>
        <w:t>,b,e</w:t>
      </w:r>
    </w:p>
    <w:p w14:paraId="67F1EB0E" w14:textId="77777777" w:rsidR="00D84795" w:rsidRDefault="00D84795" w:rsidP="00D84795">
      <w:pPr>
        <w:pStyle w:val="Els-Affiliation"/>
        <w:rPr>
          <w:lang w:val="nb-NO"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>
        <w:rPr>
          <w:lang w:val="nb-NO"/>
        </w:rPr>
        <w:t>National Centre for Food Science, Singapore Food Agency, 7 International Business Park, Singapore 609919</w:t>
      </w:r>
    </w:p>
    <w:p w14:paraId="46D353CC" w14:textId="77777777" w:rsidR="00D84795" w:rsidRDefault="00D84795" w:rsidP="00D84795">
      <w:pPr>
        <w:pStyle w:val="Els-Affiliation"/>
        <w:spacing w:after="400"/>
        <w:rPr>
          <w:lang w:val="nb-NO"/>
        </w:rPr>
      </w:pPr>
      <w:r w:rsidRPr="00234209">
        <w:rPr>
          <w:vertAlign w:val="superscript"/>
          <w:lang w:val="nb-NO"/>
        </w:rPr>
        <w:t>b</w:t>
      </w:r>
      <w:r w:rsidRPr="00234209">
        <w:rPr>
          <w:lang w:val="nb-NO"/>
        </w:rPr>
        <w:t xml:space="preserve"> </w:t>
      </w:r>
      <w:r>
        <w:rPr>
          <w:lang w:val="nb-NO"/>
        </w:rPr>
        <w:t xml:space="preserve">Department of Food Science &amp; Technology, </w:t>
      </w:r>
      <w:r w:rsidRPr="00234209">
        <w:rPr>
          <w:lang w:val="nb-NO"/>
        </w:rPr>
        <w:t xml:space="preserve">National University of Singapore, </w:t>
      </w:r>
      <w:r>
        <w:rPr>
          <w:lang w:val="nb-NO"/>
        </w:rPr>
        <w:t>2 Science Drive 2</w:t>
      </w:r>
      <w:r w:rsidRPr="00234209">
        <w:rPr>
          <w:lang w:val="nb-NO"/>
        </w:rPr>
        <w:t>,</w:t>
      </w:r>
      <w:r>
        <w:rPr>
          <w:lang w:val="nb-NO"/>
        </w:rPr>
        <w:t xml:space="preserve"> Faculty of Science, </w:t>
      </w:r>
      <w:r w:rsidRPr="00234209">
        <w:rPr>
          <w:lang w:val="nb-NO"/>
        </w:rPr>
        <w:t>Singapore 11757</w:t>
      </w:r>
      <w:r>
        <w:rPr>
          <w:lang w:val="nb-NO"/>
        </w:rPr>
        <w:t>3</w:t>
      </w:r>
      <w:r>
        <w:rPr>
          <w:lang w:val="nb-NO"/>
        </w:rPr>
        <w:br/>
      </w:r>
      <w:r>
        <w:rPr>
          <w:vertAlign w:val="superscript"/>
          <w:lang w:val="nb-NO"/>
        </w:rPr>
        <w:t>c</w:t>
      </w:r>
      <w:r>
        <w:rPr>
          <w:lang w:val="nb-NO"/>
        </w:rPr>
        <w:t xml:space="preserve">Singapore Lipidomics Incubator, Life Sciences Institute, </w:t>
      </w:r>
      <w:r w:rsidRPr="00234209">
        <w:rPr>
          <w:lang w:val="nb-NO"/>
        </w:rPr>
        <w:t>National University of Singapore, Singapore</w:t>
      </w:r>
      <w:r>
        <w:rPr>
          <w:lang w:val="nb-NO"/>
        </w:rPr>
        <w:br/>
      </w:r>
      <w:r>
        <w:rPr>
          <w:vertAlign w:val="superscript"/>
          <w:lang w:val="nb-NO"/>
        </w:rPr>
        <w:t>d</w:t>
      </w:r>
      <w:r>
        <w:rPr>
          <w:lang w:val="nb-NO"/>
        </w:rPr>
        <w:t xml:space="preserve"> Department of Medicine, Yong Loo Lin School of Medicine, </w:t>
      </w:r>
      <w:r w:rsidRPr="00234209">
        <w:rPr>
          <w:lang w:val="nb-NO"/>
        </w:rPr>
        <w:t>National University of Singapore</w:t>
      </w:r>
      <w:r>
        <w:rPr>
          <w:lang w:val="nb-NO"/>
        </w:rPr>
        <w:t xml:space="preserve"> and National University Health System, 10 Medical Drive, </w:t>
      </w:r>
      <w:r w:rsidRPr="00234209">
        <w:rPr>
          <w:lang w:val="nb-NO"/>
        </w:rPr>
        <w:t>Singapore 1175</w:t>
      </w:r>
      <w:r>
        <w:rPr>
          <w:lang w:val="nb-NO"/>
        </w:rPr>
        <w:t>97</w:t>
      </w:r>
      <w:r>
        <w:rPr>
          <w:lang w:val="nb-NO"/>
        </w:rPr>
        <w:br/>
      </w:r>
      <w:r>
        <w:rPr>
          <w:vertAlign w:val="superscript"/>
          <w:lang w:val="nb-NO"/>
        </w:rPr>
        <w:t>e</w:t>
      </w:r>
      <w:r w:rsidRPr="00234209">
        <w:rPr>
          <w:lang w:val="nb-NO"/>
        </w:rPr>
        <w:t xml:space="preserve"> </w:t>
      </w:r>
      <w:r>
        <w:rPr>
          <w:lang w:val="nb-NO"/>
        </w:rPr>
        <w:t>School of Biological Sciences, Nanyang Technological University</w:t>
      </w:r>
      <w:r w:rsidRPr="00234209">
        <w:rPr>
          <w:lang w:val="nb-NO"/>
        </w:rPr>
        <w:t xml:space="preserve">, </w:t>
      </w:r>
      <w:r>
        <w:rPr>
          <w:lang w:val="nb-NO"/>
        </w:rPr>
        <w:t>60 Nanyang Drive</w:t>
      </w:r>
      <w:r w:rsidRPr="00234209">
        <w:rPr>
          <w:lang w:val="nb-NO"/>
        </w:rPr>
        <w:t>,</w:t>
      </w:r>
      <w:r>
        <w:rPr>
          <w:lang w:val="nb-NO"/>
        </w:rPr>
        <w:t xml:space="preserve"> </w:t>
      </w:r>
      <w:r w:rsidRPr="00234209">
        <w:rPr>
          <w:lang w:val="nb-NO"/>
        </w:rPr>
        <w:t xml:space="preserve">Singapore </w:t>
      </w:r>
      <w:r>
        <w:rPr>
          <w:lang w:val="nb-NO"/>
        </w:rPr>
        <w:t>637551</w:t>
      </w:r>
    </w:p>
    <w:p w14:paraId="34429F8A" w14:textId="77777777" w:rsidR="00D84795" w:rsidRPr="004E3644" w:rsidRDefault="00D84795" w:rsidP="00D84795">
      <w:pPr>
        <w:pStyle w:val="Els-Abstract-head"/>
        <w:rPr>
          <w:lang w:val="nb-NO"/>
        </w:rPr>
      </w:pPr>
    </w:p>
    <w:p w14:paraId="7AEF3038" w14:textId="77777777" w:rsidR="00D84795" w:rsidRPr="00BF77A7" w:rsidRDefault="00D84795" w:rsidP="00D84795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34C7FAEA" w14:textId="73712A0E" w:rsidR="00D84795" w:rsidRDefault="00D84795" w:rsidP="00D84795">
      <w:pPr>
        <w:spacing w:before="120"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Human Biomonitoring (HBM) is a well-established scientific tool recommended by the World Health Organisation</w:t>
      </w:r>
      <w:r w:rsidRPr="00D84795"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 and adopted by food safety and health agencies worldwide</w:t>
      </w:r>
      <w:r w:rsidRPr="00CB6F0E">
        <w:rPr>
          <w:rFonts w:ascii="Times New Roman" w:hAnsi="Times New Roman" w:cs="Times New Roman"/>
          <w:vertAlign w:val="superscript"/>
          <w:lang w:val="en-US"/>
        </w:rPr>
        <w:t>2,3</w:t>
      </w:r>
      <w:r>
        <w:rPr>
          <w:rFonts w:ascii="Times New Roman" w:hAnsi="Times New Roman" w:cs="Times New Roman"/>
          <w:lang w:val="en-US"/>
        </w:rPr>
        <w:t xml:space="preserve">. It provides direct and accurate measurements of chemical contaminant exposure by </w:t>
      </w:r>
      <w:proofErr w:type="spellStart"/>
      <w:r>
        <w:rPr>
          <w:rFonts w:ascii="Times New Roman" w:hAnsi="Times New Roman" w:cs="Times New Roman"/>
          <w:lang w:val="en-US"/>
        </w:rPr>
        <w:t>analysing</w:t>
      </w:r>
      <w:proofErr w:type="spellEnd"/>
      <w:r>
        <w:rPr>
          <w:rFonts w:ascii="Times New Roman" w:hAnsi="Times New Roman" w:cs="Times New Roman"/>
          <w:lang w:val="en-US"/>
        </w:rPr>
        <w:t xml:space="preserve"> biological specimens such as blood samples. Hence, it </w:t>
      </w:r>
      <w:r w:rsidR="00B64E76">
        <w:rPr>
          <w:rFonts w:ascii="Times New Roman" w:hAnsi="Times New Roman" w:cs="Times New Roman"/>
          <w:lang w:val="en-US"/>
        </w:rPr>
        <w:t>offer</w:t>
      </w:r>
      <w:r>
        <w:rPr>
          <w:rFonts w:ascii="Times New Roman" w:hAnsi="Times New Roman" w:cs="Times New Roman"/>
          <w:lang w:val="en-US"/>
        </w:rPr>
        <w:t xml:space="preserve">s a more comprehensive representation of exposure from all plausible sources, including diet, and </w:t>
      </w:r>
      <w:r w:rsidR="00AE30EA">
        <w:rPr>
          <w:rFonts w:ascii="Times New Roman" w:hAnsi="Times New Roman" w:cs="Times New Roman"/>
          <w:lang w:val="en-US"/>
        </w:rPr>
        <w:t xml:space="preserve">enables </w:t>
      </w:r>
      <w:r>
        <w:rPr>
          <w:rFonts w:ascii="Times New Roman" w:hAnsi="Times New Roman" w:cs="Times New Roman"/>
          <w:lang w:val="en-US"/>
        </w:rPr>
        <w:t xml:space="preserve">more </w:t>
      </w:r>
      <w:r w:rsidR="00CB6F0E">
        <w:rPr>
          <w:rFonts w:ascii="Times New Roman" w:hAnsi="Times New Roman" w:cs="Times New Roman"/>
          <w:lang w:val="en-US"/>
        </w:rPr>
        <w:t>realistic</w:t>
      </w:r>
      <w:r>
        <w:rPr>
          <w:rFonts w:ascii="Times New Roman" w:hAnsi="Times New Roman" w:cs="Times New Roman"/>
          <w:lang w:val="en-US"/>
        </w:rPr>
        <w:t xml:space="preserve"> estimates of potential health impacts</w:t>
      </w:r>
      <w:r w:rsidR="00AE30EA">
        <w:rPr>
          <w:rFonts w:ascii="Times New Roman" w:hAnsi="Times New Roman" w:cs="Times New Roman"/>
          <w:lang w:val="en-US"/>
        </w:rPr>
        <w:t xml:space="preserve"> and associated risks</w:t>
      </w:r>
      <w:r>
        <w:rPr>
          <w:rFonts w:ascii="Times New Roman" w:hAnsi="Times New Roman" w:cs="Times New Roman"/>
          <w:lang w:val="en-US"/>
        </w:rPr>
        <w:t>.</w:t>
      </w:r>
    </w:p>
    <w:p w14:paraId="0059CF0C" w14:textId="19D8461A" w:rsidR="00E46FFD" w:rsidRPr="0078067E" w:rsidRDefault="00AE30EA" w:rsidP="00E46FFD">
      <w:pPr>
        <w:spacing w:before="120"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Since </w:t>
      </w:r>
      <w:r w:rsidR="00C25C21">
        <w:rPr>
          <w:rFonts w:ascii="Times New Roman" w:hAnsi="Times New Roman" w:cs="Times New Roman"/>
          <w:lang w:val="en-US"/>
        </w:rPr>
        <w:t>2023</w:t>
      </w:r>
      <w:r w:rsidR="00B02271">
        <w:rPr>
          <w:rFonts w:ascii="Times New Roman" w:hAnsi="Times New Roman" w:cs="Times New Roman"/>
          <w:lang w:val="en-US"/>
        </w:rPr>
        <w:t>, Singapore has embarked on a HBM project to complement existing exposure assessment approaches (i.e. Total Diet Study</w:t>
      </w:r>
      <w:r w:rsidRPr="00AE30EA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and Market Monitoring Programme</w:t>
      </w:r>
      <w:r w:rsidR="00B02271">
        <w:rPr>
          <w:rFonts w:ascii="Times New Roman" w:hAnsi="Times New Roman" w:cs="Times New Roman"/>
          <w:lang w:val="en-US"/>
        </w:rPr>
        <w:t>)</w:t>
      </w:r>
      <w:r w:rsidR="00A3062E" w:rsidRPr="00A3062E">
        <w:rPr>
          <w:rFonts w:ascii="Times New Roman" w:hAnsi="Times New Roman" w:cs="Times New Roman"/>
          <w:vertAlign w:val="superscript"/>
          <w:lang w:val="en-US"/>
        </w:rPr>
        <w:t>4</w:t>
      </w:r>
      <w:r w:rsidR="00B02271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A total of </w:t>
      </w:r>
      <w:r w:rsidR="00C55526">
        <w:rPr>
          <w:rFonts w:ascii="Times New Roman" w:hAnsi="Times New Roman" w:cs="Times New Roman"/>
          <w:lang w:val="en-US"/>
        </w:rPr>
        <w:t xml:space="preserve">300 healthy participants aged 21-60 years from </w:t>
      </w:r>
      <w:r>
        <w:rPr>
          <w:rFonts w:ascii="Times New Roman" w:hAnsi="Times New Roman" w:cs="Times New Roman"/>
          <w:lang w:val="en-US"/>
        </w:rPr>
        <w:t xml:space="preserve">all </w:t>
      </w:r>
      <w:r w:rsidR="00C55526">
        <w:rPr>
          <w:rFonts w:ascii="Times New Roman" w:hAnsi="Times New Roman" w:cs="Times New Roman"/>
          <w:lang w:val="en-US"/>
        </w:rPr>
        <w:t xml:space="preserve">major ethnic groups (Chinese, Malay and Indian) were recruited for the pilot </w:t>
      </w:r>
      <w:r>
        <w:rPr>
          <w:rFonts w:ascii="Times New Roman" w:hAnsi="Times New Roman" w:cs="Times New Roman"/>
          <w:lang w:val="en-US"/>
        </w:rPr>
        <w:t xml:space="preserve">HBM </w:t>
      </w:r>
      <w:r w:rsidR="00C55526">
        <w:rPr>
          <w:rFonts w:ascii="Times New Roman" w:hAnsi="Times New Roman" w:cs="Times New Roman"/>
          <w:lang w:val="en-US"/>
        </w:rPr>
        <w:t xml:space="preserve">project. Blood plasma samples were collected for </w:t>
      </w:r>
      <w:r w:rsidR="00B64E76">
        <w:rPr>
          <w:rFonts w:ascii="Times New Roman" w:hAnsi="Times New Roman" w:cs="Times New Roman"/>
          <w:lang w:val="en-US"/>
        </w:rPr>
        <w:t>analysis</w:t>
      </w:r>
      <w:r w:rsidR="00C55526">
        <w:rPr>
          <w:rFonts w:ascii="Times New Roman" w:hAnsi="Times New Roman" w:cs="Times New Roman"/>
          <w:lang w:val="en-US"/>
        </w:rPr>
        <w:t xml:space="preserve"> of selected heavy metals,</w:t>
      </w:r>
      <w:r w:rsidR="00E46FFD">
        <w:rPr>
          <w:rFonts w:ascii="Times New Roman" w:hAnsi="Times New Roman" w:cs="Times New Roman"/>
          <w:lang w:val="en-US"/>
        </w:rPr>
        <w:t xml:space="preserve"> acrylamide, per- and polyfluoroalkyl substances (PFASs), </w:t>
      </w:r>
      <w:proofErr w:type="spellStart"/>
      <w:r w:rsidR="00E46FFD">
        <w:rPr>
          <w:rFonts w:ascii="Times New Roman" w:hAnsi="Times New Roman" w:cs="Times New Roman"/>
          <w:lang w:val="en-US"/>
        </w:rPr>
        <w:t>plasticisers</w:t>
      </w:r>
      <w:proofErr w:type="spellEnd"/>
      <w:r w:rsidR="00E46FFD">
        <w:rPr>
          <w:rFonts w:ascii="Times New Roman" w:hAnsi="Times New Roman" w:cs="Times New Roman"/>
          <w:lang w:val="en-US"/>
        </w:rPr>
        <w:t>, polycyclic aromatic hydrocarbons (PAHs) and polychlorinated biphenyls (PCBs). Preliminary findings identified seafood consumption as a predictor of exposure to PFASs</w:t>
      </w:r>
      <w:r w:rsidR="00A3062E">
        <w:rPr>
          <w:rFonts w:ascii="Times New Roman" w:hAnsi="Times New Roman" w:cs="Times New Roman"/>
          <w:vertAlign w:val="superscript"/>
          <w:lang w:val="en-US"/>
        </w:rPr>
        <w:t>5</w:t>
      </w:r>
      <w:r w:rsidR="00E46FFD">
        <w:rPr>
          <w:rFonts w:ascii="Times New Roman" w:hAnsi="Times New Roman" w:cs="Times New Roman"/>
          <w:lang w:val="en-US"/>
        </w:rPr>
        <w:t>. Building on th</w:t>
      </w:r>
      <w:r w:rsidR="00A3062E">
        <w:rPr>
          <w:rFonts w:ascii="Times New Roman" w:hAnsi="Times New Roman" w:cs="Times New Roman"/>
          <w:lang w:val="en-US"/>
        </w:rPr>
        <w:t>e</w:t>
      </w:r>
      <w:r w:rsidR="00E46FF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critical discovery</w:t>
      </w:r>
      <w:r w:rsidR="00E46FFD">
        <w:rPr>
          <w:rFonts w:ascii="Times New Roman" w:hAnsi="Times New Roman" w:cs="Times New Roman"/>
          <w:lang w:val="en-US"/>
        </w:rPr>
        <w:t xml:space="preserve">, this presentation will </w:t>
      </w:r>
      <w:r>
        <w:rPr>
          <w:rFonts w:ascii="Times New Roman" w:hAnsi="Times New Roman" w:cs="Times New Roman"/>
          <w:lang w:val="en-US"/>
        </w:rPr>
        <w:t xml:space="preserve">demonstrate </w:t>
      </w:r>
      <w:r w:rsidRPr="00AE30EA">
        <w:rPr>
          <w:rFonts w:ascii="Times New Roman" w:hAnsi="Times New Roman" w:cs="Times New Roman"/>
          <w:lang w:val="en-US"/>
        </w:rPr>
        <w:t xml:space="preserve">how the pilot study has been successfully expanded into a comprehensive </w:t>
      </w:r>
      <w:r w:rsidR="00601DE1">
        <w:rPr>
          <w:rFonts w:ascii="Times New Roman" w:hAnsi="Times New Roman" w:cs="Times New Roman"/>
          <w:lang w:val="en-US"/>
        </w:rPr>
        <w:t>and larger-scale</w:t>
      </w:r>
      <w:r w:rsidR="00C25C21">
        <w:rPr>
          <w:rFonts w:ascii="Times New Roman" w:hAnsi="Times New Roman" w:cs="Times New Roman"/>
          <w:lang w:val="en-US"/>
        </w:rPr>
        <w:t>d</w:t>
      </w:r>
      <w:r w:rsidR="00601DE1">
        <w:rPr>
          <w:rFonts w:ascii="Times New Roman" w:hAnsi="Times New Roman" w:cs="Times New Roman"/>
          <w:lang w:val="en-US"/>
        </w:rPr>
        <w:t xml:space="preserve"> </w:t>
      </w:r>
      <w:r w:rsidRPr="00AE30EA">
        <w:rPr>
          <w:rFonts w:ascii="Times New Roman" w:hAnsi="Times New Roman" w:cs="Times New Roman"/>
          <w:lang w:val="en-US"/>
        </w:rPr>
        <w:t xml:space="preserve">HBM </w:t>
      </w:r>
      <w:proofErr w:type="spellStart"/>
      <w:r w:rsidRPr="00AE30EA">
        <w:rPr>
          <w:rFonts w:ascii="Times New Roman" w:hAnsi="Times New Roman" w:cs="Times New Roman"/>
          <w:lang w:val="en-US"/>
        </w:rPr>
        <w:t>programme</w:t>
      </w:r>
      <w:proofErr w:type="spellEnd"/>
      <w:r w:rsidRPr="00AE30EA">
        <w:rPr>
          <w:rFonts w:ascii="Times New Roman" w:hAnsi="Times New Roman" w:cs="Times New Roman"/>
          <w:lang w:val="en-US"/>
        </w:rPr>
        <w:t xml:space="preserve"> and explore the transformative potential of HBM in strengthening Singapore's food safety assessment capabilities to safeguard consumer health</w:t>
      </w:r>
      <w:r w:rsidR="00E46FFD">
        <w:rPr>
          <w:rFonts w:ascii="Times New Roman" w:hAnsi="Times New Roman" w:cs="Times New Roman"/>
          <w:lang w:val="en-US"/>
        </w:rPr>
        <w:t>.</w:t>
      </w:r>
    </w:p>
    <w:p w14:paraId="22E23C21" w14:textId="77777777" w:rsidR="00D84795" w:rsidRPr="0078067E" w:rsidRDefault="00D84795" w:rsidP="00D84795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5C298ACA" w14:textId="77777777" w:rsidR="00D84795" w:rsidRPr="00C67487" w:rsidRDefault="00D84795" w:rsidP="00D84795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045D6060" w14:textId="240D2A10" w:rsidR="00FC6A48" w:rsidRPr="00FC6A48" w:rsidRDefault="00D84795" w:rsidP="00FC6A48">
      <w:pPr>
        <w:pStyle w:val="Els-keywords"/>
        <w:spacing w:after="120" w:line="240" w:lineRule="auto"/>
        <w:rPr>
          <w:sz w:val="20"/>
        </w:rPr>
      </w:pPr>
      <w:r w:rsidRPr="00FC6A48">
        <w:rPr>
          <w:sz w:val="20"/>
        </w:rPr>
        <w:t>[1] Copenhagen: WHO Regional Office for Europe, 2023. “Human biomonitoring: assessment of exposure to chemicals and their health risks for decisions on chemicals management: summary for decision makers” (https://iris.who.int/server/api/core/bitstreams/ef0a3f4d-933d-4c2e-bbfa-fcfcbdadd264/content accessed 9 April 2026)</w:t>
      </w:r>
      <w:r w:rsidR="00A3062E" w:rsidRPr="00FC6A48">
        <w:rPr>
          <w:sz w:val="20"/>
        </w:rPr>
        <w:br/>
      </w:r>
      <w:r w:rsidR="00502BEF" w:rsidRPr="00FC6A48">
        <w:rPr>
          <w:sz w:val="20"/>
        </w:rPr>
        <w:t>[2] L. Gilles, E. Govarts, L. Rambaud, N. Vogel, A. Castaño, M. E. López, L. R. Martin, G. Koppen, S. Remy, M. Vrijheid, P. Montazeri, L. Birks, O. Sepai, L. Stewart, U. Fiddicke, I. Loots, L. E. Knudsen, M. Kolossa-Gehring, G. Schoeters, “HBM4EU combines and harmonises human biomonitoring data across the EU, building on existing capacity – The HBM4EU survey” Int J Hyg Environ Health,</w:t>
      </w:r>
      <w:r w:rsidR="00FC6A48" w:rsidRPr="00FC6A48">
        <w:rPr>
          <w:sz w:val="20"/>
        </w:rPr>
        <w:t xml:space="preserve"> </w:t>
      </w:r>
      <w:r w:rsidR="00502BEF" w:rsidRPr="00FC6A48">
        <w:rPr>
          <w:sz w:val="20"/>
        </w:rPr>
        <w:t>237:113809</w:t>
      </w:r>
      <w:r w:rsidR="00FC6A48" w:rsidRPr="00FC6A48">
        <w:rPr>
          <w:sz w:val="20"/>
        </w:rPr>
        <w:t>, 2021</w:t>
      </w:r>
      <w:r w:rsidR="00502BEF" w:rsidRPr="00FC6A48">
        <w:rPr>
          <w:sz w:val="20"/>
        </w:rPr>
        <w:br/>
        <w:t>[3] J. Nassif, A.M. Calafat, K.M. Aldous, “The U.S. National Biomonitoring Network – Enhancing Capability and Capacity to Assess Human Chemical Exposures” Int J Hyg Environ Health</w:t>
      </w:r>
      <w:r w:rsidR="00FC6A48" w:rsidRPr="00FC6A48">
        <w:rPr>
          <w:sz w:val="20"/>
        </w:rPr>
        <w:t xml:space="preserve">, </w:t>
      </w:r>
      <w:r w:rsidR="00502BEF" w:rsidRPr="00FC6A48">
        <w:rPr>
          <w:sz w:val="20"/>
        </w:rPr>
        <w:t>237:113828</w:t>
      </w:r>
      <w:r w:rsidR="00FC6A48" w:rsidRPr="00FC6A48">
        <w:rPr>
          <w:sz w:val="20"/>
        </w:rPr>
        <w:t>, 2021</w:t>
      </w:r>
      <w:r w:rsidR="00502BEF" w:rsidRPr="00FC6A48">
        <w:rPr>
          <w:sz w:val="20"/>
        </w:rPr>
        <w:br/>
        <w:t>[4] A. Li, J.C. Er, W.C. Khor, M.H. Liu, V. Sin, S.H. Chan, K.T. Aung, “Integration of National Chemical Hazards Monitoring, Total Diet Study and Human Biomonitoring</w:t>
      </w:r>
      <w:r w:rsidR="00FC6A48" w:rsidRPr="00FC6A48">
        <w:rPr>
          <w:sz w:val="20"/>
        </w:rPr>
        <w:t xml:space="preserve"> Programmes for Food Safety Exposure Assessment in Singapore” J Food Prot, Vol. 88, Issue 1, 100414, 2025 </w:t>
      </w:r>
      <w:r w:rsidR="00FC6A48" w:rsidRPr="00FC6A48">
        <w:rPr>
          <w:sz w:val="20"/>
        </w:rPr>
        <w:br/>
        <w:t xml:space="preserve">[5] A. Li, J. Oh, S.A. Mir, W.J. Seow, H. Yusri, C.G.Y. Lim, V. Sin, K.T. Aung, H. Choi, A. Cazenave-Gassiot, </w:t>
      </w:r>
      <w:r w:rsidR="00FC6A48" w:rsidRPr="00FC6A48">
        <w:rPr>
          <w:sz w:val="20"/>
        </w:rPr>
        <w:lastRenderedPageBreak/>
        <w:t>M.H. Liu, “Dietary intakes association with plasma per- and polyfluoroalkyl substances (PFAS) concentrations: a cross-sectional human biomonitoring study in Singapore” (</w:t>
      </w:r>
      <w:r w:rsidR="00FC6A48" w:rsidRPr="00FC6A48">
        <w:rPr>
          <w:i/>
          <w:iCs/>
          <w:sz w:val="20"/>
        </w:rPr>
        <w:t>under peer review)</w:t>
      </w:r>
    </w:p>
    <w:p w14:paraId="61899719" w14:textId="77777777" w:rsidR="00502BEF" w:rsidRPr="00502BEF" w:rsidRDefault="00502BEF" w:rsidP="00502BEF">
      <w:pPr>
        <w:rPr>
          <w:lang w:val="en-US"/>
        </w:rPr>
      </w:pPr>
    </w:p>
    <w:p w14:paraId="5A15BB5F" w14:textId="77777777" w:rsidR="007B68A3" w:rsidRPr="00D84795" w:rsidRDefault="007B68A3" w:rsidP="00D84795">
      <w:pPr>
        <w:rPr>
          <w:lang w:val="en-US"/>
        </w:rPr>
      </w:pPr>
    </w:p>
    <w:sectPr w:rsidR="007B68A3" w:rsidRPr="00D84795" w:rsidSect="00D847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AA7A5" w14:textId="77777777" w:rsidR="007965F7" w:rsidRDefault="007965F7">
      <w:pPr>
        <w:spacing w:after="0" w:line="240" w:lineRule="auto"/>
      </w:pPr>
      <w:r>
        <w:separator/>
      </w:r>
    </w:p>
  </w:endnote>
  <w:endnote w:type="continuationSeparator" w:id="0">
    <w:p w14:paraId="589AFF75" w14:textId="77777777" w:rsidR="007965F7" w:rsidRDefault="00796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4137" w14:textId="77777777" w:rsidR="00D84795" w:rsidRDefault="00D847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90A37" w14:textId="77777777" w:rsidR="00D84795" w:rsidRDefault="00D847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1A000" w14:textId="77777777" w:rsidR="00D84795" w:rsidRDefault="00D847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4091B" w14:textId="77777777" w:rsidR="007965F7" w:rsidRDefault="007965F7">
      <w:pPr>
        <w:spacing w:after="0" w:line="240" w:lineRule="auto"/>
      </w:pPr>
      <w:r>
        <w:separator/>
      </w:r>
    </w:p>
  </w:footnote>
  <w:footnote w:type="continuationSeparator" w:id="0">
    <w:p w14:paraId="2BA942AA" w14:textId="77777777" w:rsidR="007965F7" w:rsidRDefault="00796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39233" w14:textId="77777777" w:rsidR="00D84795" w:rsidRDefault="00D847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21E1B" w14:textId="77777777" w:rsidR="00D84795" w:rsidRDefault="00D847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E996" w14:textId="77777777" w:rsidR="00D84795" w:rsidRDefault="00D847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95"/>
    <w:rsid w:val="001E4497"/>
    <w:rsid w:val="002467D2"/>
    <w:rsid w:val="003B1D80"/>
    <w:rsid w:val="00451314"/>
    <w:rsid w:val="00502BEF"/>
    <w:rsid w:val="00601DE1"/>
    <w:rsid w:val="00677C70"/>
    <w:rsid w:val="006A2DC5"/>
    <w:rsid w:val="007965F7"/>
    <w:rsid w:val="007B68A3"/>
    <w:rsid w:val="00802E0D"/>
    <w:rsid w:val="008265C8"/>
    <w:rsid w:val="008739B0"/>
    <w:rsid w:val="00A3062E"/>
    <w:rsid w:val="00AE30EA"/>
    <w:rsid w:val="00B02271"/>
    <w:rsid w:val="00B64E76"/>
    <w:rsid w:val="00B93D28"/>
    <w:rsid w:val="00C25C21"/>
    <w:rsid w:val="00C55526"/>
    <w:rsid w:val="00CB6F0E"/>
    <w:rsid w:val="00D84795"/>
    <w:rsid w:val="00E46FFD"/>
    <w:rsid w:val="00EF5A11"/>
    <w:rsid w:val="00FA026D"/>
    <w:rsid w:val="00FC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3A65B"/>
  <w15:chartTrackingRefBased/>
  <w15:docId w15:val="{D063E461-5A94-44C0-91FA-A8ED7281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795"/>
    <w:pPr>
      <w:spacing w:line="259" w:lineRule="auto"/>
    </w:pPr>
    <w:rPr>
      <w:rFonts w:eastAsiaTheme="minorHAnsi"/>
      <w:kern w:val="0"/>
      <w:sz w:val="22"/>
      <w:szCs w:val="22"/>
      <w:lang w:val="nb-NO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47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SG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7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SG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79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SG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79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SG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79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SG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79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SG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79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SG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79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SG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79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SG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7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7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7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7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7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7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7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7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7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G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84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79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SG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84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795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val="en-SG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847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795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val="en-SG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847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7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:lang w:val="en-SG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7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795"/>
    <w:rPr>
      <w:b/>
      <w:bCs/>
      <w:smallCaps/>
      <w:color w:val="0F4761" w:themeColor="accent1" w:themeShade="BF"/>
      <w:spacing w:val="5"/>
    </w:rPr>
  </w:style>
  <w:style w:type="paragraph" w:customStyle="1" w:styleId="Els-Abstract-head">
    <w:name w:val="Els-Abstract-head"/>
    <w:next w:val="Normal"/>
    <w:rsid w:val="00D84795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kern w:val="0"/>
      <w:sz w:val="18"/>
      <w:szCs w:val="20"/>
      <w:lang w:val="en-US" w:eastAsia="en-US"/>
      <w14:ligatures w14:val="none"/>
    </w:rPr>
  </w:style>
  <w:style w:type="paragraph" w:customStyle="1" w:styleId="Els-Affiliation">
    <w:name w:val="Els-Affiliation"/>
    <w:next w:val="Els-Abstract-head"/>
    <w:rsid w:val="00D84795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kern w:val="0"/>
      <w:sz w:val="16"/>
      <w:szCs w:val="20"/>
      <w:lang w:val="en-US" w:eastAsia="en-US"/>
      <w14:ligatures w14:val="none"/>
    </w:rPr>
  </w:style>
  <w:style w:type="paragraph" w:customStyle="1" w:styleId="Els-Author">
    <w:name w:val="Els-Author"/>
    <w:next w:val="Normal"/>
    <w:rsid w:val="00D84795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kern w:val="0"/>
      <w:sz w:val="26"/>
      <w:szCs w:val="20"/>
      <w:lang w:val="en-US" w:eastAsia="en-US"/>
      <w14:ligatures w14:val="none"/>
    </w:rPr>
  </w:style>
  <w:style w:type="paragraph" w:customStyle="1" w:styleId="Els-Title">
    <w:name w:val="Els-Title"/>
    <w:next w:val="Els-Author"/>
    <w:autoRedefine/>
    <w:rsid w:val="00D84795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kern w:val="0"/>
      <w:sz w:val="32"/>
      <w:szCs w:val="32"/>
      <w:lang w:val="en-US" w:eastAsia="en-US"/>
      <w14:ligatures w14:val="none"/>
    </w:rPr>
  </w:style>
  <w:style w:type="paragraph" w:customStyle="1" w:styleId="DocHead">
    <w:name w:val="DocHead"/>
    <w:rsid w:val="00D84795"/>
    <w:pPr>
      <w:spacing w:before="240" w:after="240" w:line="240" w:lineRule="auto"/>
      <w:jc w:val="center"/>
    </w:pPr>
    <w:rPr>
      <w:rFonts w:ascii="Times New Roman" w:eastAsia="SimSun" w:hAnsi="Times New Roman" w:cs="Times New Roman"/>
      <w:kern w:val="0"/>
      <w:szCs w:val="20"/>
      <w:lang w:val="en-US" w:eastAsia="en-US"/>
      <w14:ligatures w14:val="none"/>
    </w:rPr>
  </w:style>
  <w:style w:type="paragraph" w:customStyle="1" w:styleId="Els-keywords">
    <w:name w:val="Els-keywords"/>
    <w:next w:val="Normal"/>
    <w:rsid w:val="00D84795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kern w:val="0"/>
      <w:sz w:val="16"/>
      <w:szCs w:val="20"/>
      <w:lang w:val="en-US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847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795"/>
    <w:rPr>
      <w:rFonts w:eastAsiaTheme="minorHAnsi"/>
      <w:kern w:val="0"/>
      <w:sz w:val="22"/>
      <w:szCs w:val="22"/>
      <w:lang w:val="nb-NO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47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795"/>
    <w:rPr>
      <w:rFonts w:eastAsiaTheme="minorHAnsi"/>
      <w:kern w:val="0"/>
      <w:sz w:val="22"/>
      <w:szCs w:val="22"/>
      <w:lang w:val="nb-NO"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847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47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4795"/>
    <w:rPr>
      <w:rFonts w:eastAsiaTheme="minorHAnsi"/>
      <w:kern w:val="0"/>
      <w:sz w:val="20"/>
      <w:szCs w:val="20"/>
      <w:lang w:val="nb-NO"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D84795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AE30EA"/>
    <w:pPr>
      <w:spacing w:after="0" w:line="240" w:lineRule="auto"/>
    </w:pPr>
    <w:rPr>
      <w:rFonts w:eastAsiaTheme="minorHAnsi"/>
      <w:kern w:val="0"/>
      <w:sz w:val="22"/>
      <w:szCs w:val="22"/>
      <w:lang w:val="nb-NO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Kyaw Thu AUNG (SFA)</dc:creator>
  <cp:keywords/>
  <dc:description/>
  <cp:lastModifiedBy>Marshall ONG (SFA)</cp:lastModifiedBy>
  <cp:revision>2</cp:revision>
  <dcterms:created xsi:type="dcterms:W3CDTF">2026-04-13T06:28:00Z</dcterms:created>
  <dcterms:modified xsi:type="dcterms:W3CDTF">2026-04-13T06:28:00Z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53db910-0838-4c35-bb3a-1ee21aa199ac_Enabled">
    <vt:lpwstr>true</vt:lpwstr>
  </property>
  <property fmtid="{D5CDD505-2E9C-101B-9397-08002B2CF9AE}" pid="3" name="MSIP_Label_153db910-0838-4c35-bb3a-1ee21aa199ac_SetDate">
    <vt:lpwstr>2026-04-10T13:30:14Z</vt:lpwstr>
  </property>
  <property fmtid="{D5CDD505-2E9C-101B-9397-08002B2CF9AE}" pid="4" name="MSIP_Label_153db910-0838-4c35-bb3a-1ee21aa199ac_Method">
    <vt:lpwstr>Privileged</vt:lpwstr>
  </property>
  <property fmtid="{D5CDD505-2E9C-101B-9397-08002B2CF9AE}" pid="5" name="MSIP_Label_153db910-0838-4c35-bb3a-1ee21aa199ac_Name">
    <vt:lpwstr>Sensitive Normal</vt:lpwstr>
  </property>
  <property fmtid="{D5CDD505-2E9C-101B-9397-08002B2CF9AE}" pid="6" name="MSIP_Label_153db910-0838-4c35-bb3a-1ee21aa199ac_SiteId">
    <vt:lpwstr>0b11c524-9a1c-4e1b-84cb-6336aefc2243</vt:lpwstr>
  </property>
  <property fmtid="{D5CDD505-2E9C-101B-9397-08002B2CF9AE}" pid="7" name="MSIP_Label_153db910-0838-4c35-bb3a-1ee21aa199ac_ActionId">
    <vt:lpwstr>6bae55b5-be2e-4147-a4c5-9e613e0a3165</vt:lpwstr>
  </property>
  <property fmtid="{D5CDD505-2E9C-101B-9397-08002B2CF9AE}" pid="8" name="MSIP_Label_153db910-0838-4c35-bb3a-1ee21aa199ac_ContentBits">
    <vt:lpwstr>0</vt:lpwstr>
  </property>
  <property fmtid="{D5CDD505-2E9C-101B-9397-08002B2CF9AE}" pid="9" name="MSIP_Label_153db910-0838-4c35-bb3a-1ee21aa199ac_Tag">
    <vt:lpwstr>10, 0, 1, 1</vt:lpwstr>
  </property>
</Properties>
</file>