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C02C301" w14:textId="77777777" w:rsidR="000218E4" w:rsidRDefault="000218E4" w:rsidP="00A46F97">
      <w:pPr>
        <w:pStyle w:val="Els-Author"/>
        <w:spacing w:after="240" w:line="400" w:lineRule="exact"/>
        <w:rPr>
          <w:noProof w:val="0"/>
          <w:sz w:val="32"/>
          <w:szCs w:val="32"/>
          <w:lang w:eastAsia="zh-CN"/>
        </w:rPr>
      </w:pPr>
      <w:r w:rsidRPr="000218E4">
        <w:rPr>
          <w:noProof w:val="0"/>
          <w:sz w:val="32"/>
          <w:szCs w:val="32"/>
          <w:lang w:eastAsia="zh-CN"/>
        </w:rPr>
        <w:t>pH- and Ca²⁺-Mediated Casein–Gellan Double Gels: Effect of Sol–Gel Transition Temperature on Gel Structure</w:t>
      </w:r>
    </w:p>
    <w:p w14:paraId="4AB3CD91" w14:textId="7F1F3B4A" w:rsidR="00A46F97" w:rsidRPr="003307DB" w:rsidRDefault="00A46F97" w:rsidP="00A46F97">
      <w:pPr>
        <w:pStyle w:val="Els-Author"/>
        <w:ind w:right="2"/>
        <w:rPr>
          <w:sz w:val="24"/>
          <w:szCs w:val="24"/>
          <w:lang w:eastAsia="zh-CN"/>
        </w:rPr>
        <w:sectPr w:rsidR="00A46F97" w:rsidRPr="003307DB" w:rsidSect="00A46F97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hint="eastAsia"/>
          <w:sz w:val="24"/>
          <w:szCs w:val="24"/>
          <w:lang w:val="nb-NO" w:eastAsia="zh-CN"/>
        </w:rPr>
        <w:t>Weibo Zhang</w:t>
      </w:r>
      <w:r w:rsidRPr="009C71BA">
        <w:rPr>
          <w:sz w:val="24"/>
          <w:szCs w:val="24"/>
          <w:vertAlign w:val="superscript"/>
          <w:lang w:val="nb-NO"/>
        </w:rPr>
        <w:t>a</w:t>
      </w:r>
      <w:r w:rsidRPr="009C71BA">
        <w:rPr>
          <w:sz w:val="24"/>
          <w:szCs w:val="24"/>
          <w:vertAlign w:val="superscript"/>
        </w:rPr>
        <w:footnoteReference w:id="1"/>
      </w:r>
    </w:p>
    <w:p w14:paraId="6EE2099E" w14:textId="77777777" w:rsidR="00A46F97" w:rsidRDefault="00A46F97" w:rsidP="00A46F97">
      <w:pPr>
        <w:pStyle w:val="Els-Affiliation"/>
        <w:spacing w:after="400"/>
        <w:rPr>
          <w:lang w:eastAsia="zh-CN"/>
        </w:rPr>
      </w:pPr>
      <w:r>
        <w:rPr>
          <w:rFonts w:hint="eastAsia"/>
          <w:vertAlign w:val="superscript"/>
          <w:lang w:val="nb-NO" w:eastAsia="zh-CN"/>
        </w:rPr>
        <w:t>a</w:t>
      </w:r>
      <w:r w:rsidRPr="00234209">
        <w:rPr>
          <w:lang w:val="nb-NO"/>
        </w:rPr>
        <w:t xml:space="preserve"> </w:t>
      </w:r>
      <w:r w:rsidRPr="001B1268">
        <w:rPr>
          <w:lang w:val="nb-NO"/>
        </w:rPr>
        <w:t xml:space="preserve">Department of Food Science and Technology, </w:t>
      </w:r>
      <w:r w:rsidRPr="00234209">
        <w:rPr>
          <w:lang w:val="nb-NO"/>
        </w:rPr>
        <w:t xml:space="preserve"> National University of Singapore, Singapore 1175</w:t>
      </w:r>
      <w:r>
        <w:rPr>
          <w:rFonts w:hint="eastAsia"/>
          <w:lang w:val="nb-NO" w:eastAsia="zh-CN"/>
        </w:rPr>
        <w:t>42</w:t>
      </w:r>
    </w:p>
    <w:p w14:paraId="7715227C" w14:textId="77777777" w:rsidR="00431340" w:rsidRPr="00BF77A7" w:rsidRDefault="00431340" w:rsidP="00A46F97">
      <w:pPr>
        <w:pStyle w:val="Els-Abstract-head"/>
        <w:spacing w:before="120" w:afterLines="50" w:after="12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60DAF799" w14:textId="77777777" w:rsidR="00A46F97" w:rsidRDefault="00A46F97" w:rsidP="00A46F97">
      <w:pPr>
        <w:jc w:val="both"/>
      </w:pP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Casein (CN)-based hydrogels are fundamental to the production of </w:t>
      </w:r>
      <w:r w:rsidRPr="00D9049C">
        <w:rPr>
          <w:rFonts w:ascii="Times New Roman" w:hAnsi="Times New Roman" w:cs="Times New Roman"/>
          <w:sz w:val="20"/>
          <w:szCs w:val="20"/>
          <w:lang w:val="en-US" w:eastAsia="zh-CN"/>
        </w:rPr>
        <w:t>yogurt and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other 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fermented dairy products. However, their industrial application is often hindered by structural weaknesses and network instability, which negatively impact consumer perception and transport durability</w:t>
      </w:r>
      <w:r w:rsidRPr="00F136B4">
        <w:rPr>
          <w:rFonts w:ascii="Times New Roman" w:hAnsi="Times New Roman" w:cs="Times New Roman" w:hint="eastAsia"/>
          <w:sz w:val="20"/>
          <w:szCs w:val="20"/>
          <w:vertAlign w:val="superscript"/>
          <w:lang w:val="en-US" w:eastAsia="zh-CN"/>
        </w:rPr>
        <w:t xml:space="preserve"> [1]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. 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>W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e first demonstrated that the addition of a </w:t>
      </w:r>
      <w:proofErr w:type="gramStart"/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low-acyl</w:t>
      </w:r>
      <w:proofErr w:type="gramEnd"/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proofErr w:type="spellStart"/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gellan</w:t>
      </w:r>
      <w:proofErr w:type="spellEnd"/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gum (LA)/Ca²⁺ complex significantly enhances gelation properties compared to both pure CN and CN/LA mixture gels. Notably, 0.2% LA-Ca achieved a superior reinforcing effect than 0.5% LA alone, enabling a reduction in polysaccharide dosage while maintaining high structural integrity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, </w:t>
      </w:r>
      <w:r w:rsidRPr="00D9049C">
        <w:rPr>
          <w:rFonts w:ascii="Times New Roman" w:hAnsi="Times New Roman" w:cs="Times New Roman"/>
          <w:sz w:val="20"/>
          <w:szCs w:val="20"/>
          <w:lang w:val="en-US" w:eastAsia="zh-CN"/>
        </w:rPr>
        <w:t>which are more in line with needs of dairy market and preferences of consumers</w:t>
      </w:r>
      <w:r w:rsidRPr="00F136B4">
        <w:rPr>
          <w:rFonts w:ascii="Times New Roman" w:hAnsi="Times New Roman" w:cs="Times New Roman" w:hint="eastAsia"/>
          <w:sz w:val="20"/>
          <w:szCs w:val="20"/>
          <w:vertAlign w:val="superscript"/>
          <w:lang w:val="en-US" w:eastAsia="zh-CN"/>
        </w:rPr>
        <w:t xml:space="preserve"> [2]</w:t>
      </w:r>
      <w:r w:rsidRPr="00D9049C">
        <w:rPr>
          <w:rFonts w:ascii="Times New Roman" w:hAnsi="Times New Roman" w:cs="Times New Roman"/>
          <w:sz w:val="20"/>
          <w:szCs w:val="20"/>
          <w:lang w:val="en-US" w:eastAsia="zh-CN"/>
        </w:rPr>
        <w:t>.</w:t>
      </w:r>
      <w:r w:rsidRPr="000F480F">
        <w:t xml:space="preserve"> </w:t>
      </w:r>
    </w:p>
    <w:p w14:paraId="4B599E85" w14:textId="77777777" w:rsidR="00A46F97" w:rsidRPr="000F480F" w:rsidRDefault="00A46F97" w:rsidP="00A46F97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Furthermore, our research identifies the sol-gel transition temperature (</w:t>
      </w:r>
      <w:proofErr w:type="spellStart"/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sol</w:t>
      </w:r>
      <w:proofErr w:type="spellEnd"/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-gel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) of the LG/Ca²⁺ phase as the critical determinant of gel consistency, as it dictates the gelation sequence relative to casein acidification. We found that the </w:t>
      </w:r>
      <w:proofErr w:type="spellStart"/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sol</w:t>
      </w:r>
      <w:proofErr w:type="spellEnd"/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-gel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of LG can be precisely modulated between 35.1 and 48.1°C by adjusting Ca²⁺ concentrations (0–30 mM). The alignment between </w:t>
      </w:r>
      <w:proofErr w:type="spellStart"/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sol</w:t>
      </w:r>
      <w:proofErr w:type="spellEnd"/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-gel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and the acidification temperature (37°C or 42°C) governs the final gel architecture. Optimal properties, including maximized storage modulus (G'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>, increased</w:t>
      </w:r>
      <w:r w:rsidRPr="00C3373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39.8-fold</w:t>
      </w:r>
      <w:r w:rsidRPr="00C33738">
        <w:t xml:space="preserve"> </w:t>
      </w:r>
      <w:r w:rsidRPr="00C33738">
        <w:rPr>
          <w:rFonts w:ascii="Times New Roman" w:hAnsi="Times New Roman" w:cs="Times New Roman"/>
          <w:sz w:val="20"/>
          <w:szCs w:val="20"/>
          <w:lang w:val="en-US" w:eastAsia="zh-CN"/>
        </w:rPr>
        <w:t>compared with CN-LG gel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>)</w:t>
      </w:r>
      <w:r w:rsidRPr="00C3373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and 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water-holding capacity (WHC &gt; 90%), were achieved when </w:t>
      </w:r>
      <w:proofErr w:type="spellStart"/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sol</w:t>
      </w:r>
      <w:proofErr w:type="spellEnd"/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-gel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was slightly higher than the acidification temperature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F136B4">
        <w:rPr>
          <w:rFonts w:ascii="Times New Roman" w:hAnsi="Times New Roman" w:cs="Times New Roman" w:hint="eastAsia"/>
          <w:sz w:val="20"/>
          <w:szCs w:val="20"/>
          <w:vertAlign w:val="superscript"/>
          <w:lang w:val="en-US" w:eastAsia="zh-CN"/>
        </w:rPr>
        <w:t>[3]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. Under this synchronized condition, the early-formed LG network acts as a structural scaffold, facilitating the formation of a coherent interpenetrating polymer network.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LF-NMR analysis confirmed that this kinetic synchronization restricts water mobility (</w:t>
      </w:r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  <w:lang w:val="en-US" w:eastAsia="zh-CN"/>
        </w:rPr>
        <w:t>22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), resulting in a denser microstructure. Conversely, a thermal mismatch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>leads to network coarsening and compromised mechanical strength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  <w:r w:rsidRPr="00F136B4">
        <w:rPr>
          <w:rFonts w:ascii="Times New Roman" w:hAnsi="Times New Roman" w:cs="Times New Roman" w:hint="eastAsia"/>
          <w:sz w:val="20"/>
          <w:szCs w:val="20"/>
          <w:vertAlign w:val="superscript"/>
          <w:lang w:val="en-US" w:eastAsia="zh-CN"/>
        </w:rPr>
        <w:t>[4]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. These findings establish </w:t>
      </w:r>
      <w:proofErr w:type="spellStart"/>
      <w:r w:rsidRPr="000F480F">
        <w:rPr>
          <w:rFonts w:ascii="Times New Roman" w:hAnsi="Times New Roman" w:cs="Times New Roman"/>
          <w:i/>
          <w:iCs/>
          <w:sz w:val="20"/>
          <w:szCs w:val="20"/>
          <w:lang w:val="en-US" w:eastAsia="zh-CN"/>
        </w:rPr>
        <w:t>T</w:t>
      </w:r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sol</w:t>
      </w:r>
      <w:proofErr w:type="spellEnd"/>
      <w:r w:rsidRPr="000F480F">
        <w:rPr>
          <w:rFonts w:ascii="Times New Roman" w:hAnsi="Times New Roman" w:cs="Times New Roman"/>
          <w:i/>
          <w:iCs/>
          <w:sz w:val="20"/>
          <w:szCs w:val="20"/>
          <w:vertAlign w:val="subscript"/>
          <w:lang w:val="en-US" w:eastAsia="zh-CN"/>
        </w:rPr>
        <w:t>-gel</w:t>
      </w:r>
      <w:r w:rsidRPr="00383F98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as a key indicator for optimizing the quality of </w:t>
      </w:r>
      <w:r w:rsidRPr="000F480F">
        <w:rPr>
          <w:rFonts w:ascii="Times New Roman" w:hAnsi="Times New Roman" w:cs="Times New Roman"/>
          <w:sz w:val="20"/>
          <w:szCs w:val="20"/>
          <w:lang w:val="en-US" w:eastAsia="zh-CN"/>
        </w:rPr>
        <w:t>CN-LG mixture gels in industrial production.</w:t>
      </w:r>
      <w:r>
        <w:rPr>
          <w:rFonts w:ascii="Times New Roman" w:hAnsi="Times New Roman" w:cs="Times New Roman" w:hint="eastAsia"/>
          <w:sz w:val="20"/>
          <w:szCs w:val="20"/>
          <w:lang w:val="en-US" w:eastAsia="zh-CN"/>
        </w:rPr>
        <w:t xml:space="preserve"> </w:t>
      </w:r>
    </w:p>
    <w:p w14:paraId="7687299F" w14:textId="77777777" w:rsidR="007679DD" w:rsidRPr="00A46F97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CEBDB92" w14:textId="77777777" w:rsidR="00A46F97" w:rsidRDefault="00A46F97" w:rsidP="00A46F97">
      <w:pPr>
        <w:pStyle w:val="Els-keywords"/>
        <w:spacing w:after="120" w:line="240" w:lineRule="auto"/>
        <w:jc w:val="both"/>
        <w:rPr>
          <w:sz w:val="20"/>
          <w:lang w:eastAsia="zh-CN"/>
        </w:rPr>
      </w:pPr>
      <w:r w:rsidRPr="00C67487">
        <w:rPr>
          <w:sz w:val="20"/>
        </w:rPr>
        <w:t xml:space="preserve">[1] </w:t>
      </w:r>
      <w:r w:rsidRPr="00654C5D">
        <w:rPr>
          <w:sz w:val="20"/>
          <w:lang w:eastAsia="zh-CN"/>
        </w:rPr>
        <w:t xml:space="preserve">S Wang, …, W Zhang*. </w:t>
      </w:r>
      <w:r>
        <w:rPr>
          <w:sz w:val="20"/>
          <w:lang w:eastAsia="zh-CN"/>
        </w:rPr>
        <w:t>“</w:t>
      </w:r>
      <w:r w:rsidRPr="00654C5D">
        <w:rPr>
          <w:sz w:val="20"/>
          <w:lang w:eastAsia="zh-CN"/>
        </w:rPr>
        <w:t>Effects of Magnetic Field Treatment on Sensory Attributes of Food: Flavor, Texture, and Color</w:t>
      </w:r>
      <w:r>
        <w:rPr>
          <w:sz w:val="20"/>
          <w:lang w:eastAsia="zh-CN"/>
        </w:rPr>
        <w:t>”</w:t>
      </w:r>
      <w:r w:rsidRPr="00654C5D">
        <w:rPr>
          <w:sz w:val="20"/>
          <w:lang w:eastAsia="zh-CN"/>
        </w:rPr>
        <w:t xml:space="preserve">. Comprehensive Reviews in Food Science and Food Safety, </w:t>
      </w:r>
      <w:r>
        <w:rPr>
          <w:rFonts w:hint="eastAsia"/>
          <w:sz w:val="20"/>
          <w:lang w:eastAsia="zh-CN"/>
        </w:rPr>
        <w:t xml:space="preserve">Vol. </w:t>
      </w:r>
      <w:r w:rsidRPr="00654C5D">
        <w:rPr>
          <w:sz w:val="20"/>
          <w:lang w:eastAsia="zh-CN"/>
        </w:rPr>
        <w:t>25</w:t>
      </w:r>
      <w:r>
        <w:rPr>
          <w:rFonts w:hint="eastAsia"/>
          <w:sz w:val="20"/>
          <w:lang w:eastAsia="zh-CN"/>
        </w:rPr>
        <w:t>, pp.</w:t>
      </w:r>
      <w:r w:rsidRPr="00654C5D">
        <w:rPr>
          <w:sz w:val="20"/>
          <w:lang w:eastAsia="zh-CN"/>
        </w:rPr>
        <w:t xml:space="preserve"> e70387</w:t>
      </w:r>
      <w:r>
        <w:rPr>
          <w:rFonts w:hint="eastAsia"/>
          <w:sz w:val="20"/>
          <w:lang w:eastAsia="zh-CN"/>
        </w:rPr>
        <w:t>,</w:t>
      </w:r>
      <w:r w:rsidRPr="00654C5D">
        <w:rPr>
          <w:sz w:val="20"/>
          <w:lang w:eastAsia="zh-CN"/>
        </w:rPr>
        <w:t xml:space="preserve"> 2026.</w:t>
      </w:r>
    </w:p>
    <w:p w14:paraId="7F535DA8" w14:textId="77777777" w:rsidR="00A46F97" w:rsidRPr="002B184D" w:rsidRDefault="00A46F97" w:rsidP="00A46F97">
      <w:pPr>
        <w:pStyle w:val="Els-keywords"/>
        <w:spacing w:after="120" w:line="240" w:lineRule="auto"/>
        <w:jc w:val="both"/>
        <w:rPr>
          <w:sz w:val="20"/>
        </w:rPr>
      </w:pPr>
      <w:r w:rsidRPr="00654C5D">
        <w:rPr>
          <w:rFonts w:hint="eastAsia"/>
          <w:sz w:val="20"/>
        </w:rPr>
        <w:t>[</w:t>
      </w:r>
      <w:r>
        <w:rPr>
          <w:rFonts w:hint="eastAsia"/>
          <w:sz w:val="20"/>
          <w:lang w:eastAsia="zh-CN"/>
        </w:rPr>
        <w:t>2</w:t>
      </w:r>
      <w:r w:rsidRPr="00654C5D">
        <w:rPr>
          <w:rFonts w:hint="eastAsia"/>
          <w:sz w:val="20"/>
        </w:rPr>
        <w:t xml:space="preserve">] </w:t>
      </w:r>
      <w:r w:rsidRPr="00654C5D">
        <w:rPr>
          <w:sz w:val="20"/>
        </w:rPr>
        <w:t>C Chen,</w:t>
      </w:r>
      <w:r>
        <w:rPr>
          <w:rFonts w:hint="eastAsia"/>
          <w:sz w:val="20"/>
          <w:lang w:eastAsia="zh-CN"/>
        </w:rPr>
        <w:t xml:space="preserve"> </w:t>
      </w:r>
      <w:r w:rsidRPr="00654C5D">
        <w:rPr>
          <w:sz w:val="20"/>
        </w:rPr>
        <w:t>...., W Zhang*. Formation and physical properties of casein–gellan gum/Ca</w:t>
      </w:r>
      <w:r w:rsidRPr="00654C5D">
        <w:rPr>
          <w:sz w:val="20"/>
          <w:vertAlign w:val="superscript"/>
        </w:rPr>
        <w:t>2+</w:t>
      </w:r>
      <w:r w:rsidRPr="00654C5D">
        <w:rPr>
          <w:sz w:val="20"/>
        </w:rPr>
        <w:t xml:space="preserve"> gel with interpenetrating polymer network. LWT-Food Sciences and Technology, </w:t>
      </w:r>
      <w:r>
        <w:rPr>
          <w:rFonts w:hint="eastAsia"/>
          <w:sz w:val="20"/>
          <w:lang w:eastAsia="zh-CN"/>
        </w:rPr>
        <w:t xml:space="preserve">Vol. </w:t>
      </w:r>
      <w:r w:rsidRPr="00654C5D">
        <w:rPr>
          <w:sz w:val="20"/>
        </w:rPr>
        <w:t>215</w:t>
      </w:r>
      <w:r>
        <w:rPr>
          <w:rFonts w:hint="eastAsia"/>
          <w:sz w:val="20"/>
          <w:lang w:eastAsia="zh-CN"/>
        </w:rPr>
        <w:t xml:space="preserve">, pp. </w:t>
      </w:r>
      <w:r w:rsidRPr="00654C5D">
        <w:rPr>
          <w:sz w:val="20"/>
        </w:rPr>
        <w:t>117284</w:t>
      </w:r>
      <w:r>
        <w:rPr>
          <w:rFonts w:hint="eastAsia"/>
          <w:sz w:val="20"/>
          <w:lang w:eastAsia="zh-CN"/>
        </w:rPr>
        <w:t>,</w:t>
      </w:r>
      <w:r w:rsidRPr="00654C5D">
        <w:rPr>
          <w:sz w:val="20"/>
        </w:rPr>
        <w:t xml:space="preserve"> 2025. </w:t>
      </w:r>
    </w:p>
    <w:p w14:paraId="3C3CEC58" w14:textId="77777777" w:rsidR="00A46F97" w:rsidRDefault="00A46F97" w:rsidP="00A46F97">
      <w:pPr>
        <w:pStyle w:val="Els-keywords"/>
        <w:spacing w:after="120" w:line="240" w:lineRule="auto"/>
        <w:jc w:val="both"/>
        <w:rPr>
          <w:sz w:val="20"/>
        </w:rPr>
      </w:pPr>
      <w:r>
        <w:rPr>
          <w:rFonts w:hint="eastAsia"/>
          <w:sz w:val="20"/>
          <w:lang w:eastAsia="zh-CN"/>
        </w:rPr>
        <w:t>[3]W Zhang</w:t>
      </w:r>
      <w:r w:rsidRPr="00665C88">
        <w:rPr>
          <w:sz w:val="20"/>
        </w:rPr>
        <w:t>,</w:t>
      </w:r>
      <w:r>
        <w:rPr>
          <w:rFonts w:hint="eastAsia"/>
          <w:sz w:val="20"/>
          <w:lang w:eastAsia="zh-CN"/>
        </w:rPr>
        <w:t xml:space="preserve"> </w:t>
      </w:r>
      <w:r>
        <w:rPr>
          <w:sz w:val="20"/>
          <w:lang w:eastAsia="zh-CN"/>
        </w:rPr>
        <w:t>…</w:t>
      </w:r>
      <w:r>
        <w:rPr>
          <w:rFonts w:hint="eastAsia"/>
          <w:sz w:val="20"/>
          <w:lang w:eastAsia="zh-CN"/>
        </w:rPr>
        <w:t>, F Ren.</w:t>
      </w:r>
      <w:r w:rsidRPr="00665C88">
        <w:rPr>
          <w:sz w:val="20"/>
        </w:rPr>
        <w:t xml:space="preserve"> </w:t>
      </w:r>
      <w:r>
        <w:rPr>
          <w:sz w:val="20"/>
        </w:rPr>
        <w:t>“</w:t>
      </w:r>
      <w:r w:rsidRPr="001B1268">
        <w:rPr>
          <w:sz w:val="20"/>
        </w:rPr>
        <w:t>Effect of the sol-gel transition temperature of the low-acyl gellan gum/Ca</w:t>
      </w:r>
      <w:r w:rsidRPr="00654C5D">
        <w:rPr>
          <w:sz w:val="20"/>
          <w:vertAlign w:val="superscript"/>
        </w:rPr>
        <w:t>2+</w:t>
      </w:r>
      <w:r w:rsidRPr="001B1268">
        <w:rPr>
          <w:sz w:val="20"/>
        </w:rPr>
        <w:t xml:space="preserve"> on the gelation properties of casein gel</w:t>
      </w:r>
      <w:r>
        <w:rPr>
          <w:sz w:val="20"/>
        </w:rPr>
        <w:t>”,</w:t>
      </w:r>
      <w:r w:rsidRPr="00665C88">
        <w:rPr>
          <w:sz w:val="20"/>
        </w:rPr>
        <w:t xml:space="preserve"> </w:t>
      </w:r>
      <w:r w:rsidRPr="00C2120C">
        <w:rPr>
          <w:sz w:val="20"/>
        </w:rPr>
        <w:t>Carbohydrate</w:t>
      </w:r>
      <w:r>
        <w:rPr>
          <w:rFonts w:hint="eastAsia"/>
          <w:sz w:val="20"/>
          <w:lang w:eastAsia="zh-CN"/>
        </w:rPr>
        <w:t xml:space="preserve"> Polymers</w:t>
      </w:r>
      <w:r w:rsidRPr="00665C88">
        <w:rPr>
          <w:sz w:val="20"/>
        </w:rPr>
        <w:t xml:space="preserve">, Vol. </w:t>
      </w:r>
      <w:r>
        <w:rPr>
          <w:rFonts w:hint="eastAsia"/>
          <w:sz w:val="20"/>
          <w:lang w:eastAsia="zh-CN"/>
        </w:rPr>
        <w:t>349</w:t>
      </w:r>
      <w:r w:rsidRPr="00665C88">
        <w:rPr>
          <w:sz w:val="20"/>
        </w:rPr>
        <w:t>,</w:t>
      </w:r>
      <w:r>
        <w:rPr>
          <w:sz w:val="20"/>
        </w:rPr>
        <w:t xml:space="preserve"> pp. </w:t>
      </w:r>
      <w:r>
        <w:rPr>
          <w:rFonts w:hint="eastAsia"/>
          <w:sz w:val="20"/>
          <w:lang w:eastAsia="zh-CN"/>
        </w:rPr>
        <w:t>123012</w:t>
      </w:r>
      <w:r>
        <w:rPr>
          <w:sz w:val="20"/>
        </w:rPr>
        <w:t xml:space="preserve">, </w:t>
      </w:r>
      <w:r>
        <w:rPr>
          <w:rFonts w:hint="eastAsia"/>
          <w:sz w:val="20"/>
          <w:lang w:eastAsia="zh-CN"/>
        </w:rPr>
        <w:t>2025</w:t>
      </w:r>
      <w:r>
        <w:rPr>
          <w:sz w:val="20"/>
        </w:rPr>
        <w:t>.</w:t>
      </w:r>
    </w:p>
    <w:p w14:paraId="0843BE9E" w14:textId="77777777" w:rsidR="00A46F97" w:rsidRPr="002537DA" w:rsidRDefault="00A46F97" w:rsidP="00A46F97">
      <w:pPr>
        <w:pStyle w:val="Els-keywords"/>
        <w:spacing w:after="120" w:line="240" w:lineRule="auto"/>
        <w:jc w:val="both"/>
        <w:rPr>
          <w:sz w:val="20"/>
          <w:lang w:eastAsia="zh-CN"/>
        </w:rPr>
      </w:pPr>
      <w:r w:rsidRPr="00C67487">
        <w:rPr>
          <w:sz w:val="20"/>
        </w:rPr>
        <w:t>[</w:t>
      </w:r>
      <w:r>
        <w:rPr>
          <w:rFonts w:hint="eastAsia"/>
          <w:sz w:val="20"/>
          <w:lang w:eastAsia="zh-CN"/>
        </w:rPr>
        <w:t>4</w:t>
      </w:r>
      <w:r w:rsidRPr="00C67487">
        <w:rPr>
          <w:sz w:val="20"/>
        </w:rPr>
        <w:t xml:space="preserve">] </w:t>
      </w:r>
      <w:r>
        <w:rPr>
          <w:rFonts w:hint="eastAsia"/>
          <w:sz w:val="20"/>
          <w:lang w:eastAsia="zh-CN"/>
        </w:rPr>
        <w:t>W Zhang</w:t>
      </w:r>
      <w:r w:rsidRPr="00665C88">
        <w:rPr>
          <w:sz w:val="20"/>
        </w:rPr>
        <w:t>,</w:t>
      </w:r>
      <w:r>
        <w:rPr>
          <w:rFonts w:hint="eastAsia"/>
          <w:sz w:val="20"/>
          <w:lang w:eastAsia="zh-CN"/>
        </w:rPr>
        <w:t xml:space="preserve"> </w:t>
      </w:r>
      <w:r>
        <w:rPr>
          <w:sz w:val="20"/>
          <w:lang w:eastAsia="zh-CN"/>
        </w:rPr>
        <w:t>…</w:t>
      </w:r>
      <w:r>
        <w:rPr>
          <w:rFonts w:hint="eastAsia"/>
          <w:sz w:val="20"/>
          <w:lang w:eastAsia="zh-CN"/>
        </w:rPr>
        <w:t>, C Che</w:t>
      </w:r>
      <w:r w:rsidRPr="00654C5D">
        <w:rPr>
          <w:sz w:val="20"/>
          <w:lang w:eastAsia="zh-CN"/>
        </w:rPr>
        <w:t>n.“Effect of trisodium citrate on the gelation properties of casein/gellan gum double gels formed at different temperature”. Carbohydrate Polymer Technologies and Applications,</w:t>
      </w:r>
      <w:r>
        <w:rPr>
          <w:rFonts w:hint="eastAsia"/>
          <w:sz w:val="20"/>
          <w:lang w:eastAsia="zh-CN"/>
        </w:rPr>
        <w:t>Vol.</w:t>
      </w:r>
      <w:r w:rsidRPr="00654C5D">
        <w:rPr>
          <w:sz w:val="20"/>
          <w:lang w:eastAsia="zh-CN"/>
        </w:rPr>
        <w:t>10</w:t>
      </w:r>
      <w:r>
        <w:rPr>
          <w:rFonts w:hint="eastAsia"/>
          <w:sz w:val="20"/>
          <w:lang w:eastAsia="zh-CN"/>
        </w:rPr>
        <w:t xml:space="preserve">, pp. </w:t>
      </w:r>
      <w:r w:rsidRPr="00654C5D">
        <w:rPr>
          <w:sz w:val="20"/>
          <w:lang w:eastAsia="zh-CN"/>
        </w:rPr>
        <w:t>100768</w:t>
      </w:r>
      <w:r>
        <w:rPr>
          <w:rFonts w:hint="eastAsia"/>
          <w:sz w:val="20"/>
          <w:lang w:eastAsia="zh-CN"/>
        </w:rPr>
        <w:t xml:space="preserve">, </w:t>
      </w:r>
      <w:r w:rsidRPr="00654C5D">
        <w:rPr>
          <w:sz w:val="20"/>
          <w:lang w:eastAsia="zh-CN"/>
        </w:rPr>
        <w:t xml:space="preserve">2025. </w:t>
      </w:r>
    </w:p>
    <w:sectPr w:rsidR="00A46F97" w:rsidRPr="002537DA" w:rsidSect="00431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113B" w14:textId="77777777" w:rsidR="00737EE1" w:rsidRDefault="00737EE1" w:rsidP="00431340">
      <w:pPr>
        <w:spacing w:after="0" w:line="240" w:lineRule="auto"/>
      </w:pPr>
      <w:r>
        <w:separator/>
      </w:r>
    </w:p>
  </w:endnote>
  <w:endnote w:type="continuationSeparator" w:id="0">
    <w:p w14:paraId="23B529DE" w14:textId="77777777" w:rsidR="00737EE1" w:rsidRDefault="00737EE1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522A" w14:textId="77777777" w:rsidR="00737EE1" w:rsidRDefault="00737EE1" w:rsidP="00431340">
      <w:pPr>
        <w:spacing w:after="0" w:line="240" w:lineRule="auto"/>
      </w:pPr>
      <w:r>
        <w:separator/>
      </w:r>
    </w:p>
  </w:footnote>
  <w:footnote w:type="continuationSeparator" w:id="0">
    <w:p w14:paraId="1911A52A" w14:textId="77777777" w:rsidR="00737EE1" w:rsidRDefault="00737EE1" w:rsidP="00431340">
      <w:pPr>
        <w:spacing w:after="0" w:line="240" w:lineRule="auto"/>
      </w:pPr>
      <w:r>
        <w:continuationSeparator/>
      </w:r>
    </w:p>
  </w:footnote>
  <w:footnote w:id="1">
    <w:p w14:paraId="28F681AA" w14:textId="5BD82C13" w:rsidR="00A46F97" w:rsidRPr="00BF77A7" w:rsidRDefault="00A46F97" w:rsidP="00A46F97">
      <w:pPr>
        <w:pStyle w:val="Els-footnote"/>
        <w:ind w:firstLine="120"/>
        <w:rPr>
          <w:sz w:val="18"/>
          <w:szCs w:val="18"/>
        </w:rPr>
      </w:pPr>
      <w:r w:rsidRPr="00BF77A7">
        <w:rPr>
          <w:sz w:val="18"/>
          <w:szCs w:val="18"/>
        </w:rPr>
        <w:t xml:space="preserve">* 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nb-NO" w:eastAsia="zh-CN"/>
        </w:rPr>
        <w:t>wbzhang</w:t>
      </w:r>
      <w:r w:rsidRPr="004C7508">
        <w:rPr>
          <w:sz w:val="18"/>
          <w:szCs w:val="18"/>
          <w:lang w:val="nb-NO"/>
        </w:rPr>
        <w:t>@</w:t>
      </w:r>
      <w:r w:rsidR="00771F6A">
        <w:rPr>
          <w:rFonts w:hint="eastAsia"/>
          <w:sz w:val="18"/>
          <w:szCs w:val="18"/>
          <w:lang w:val="nb-NO" w:eastAsia="zh-CN"/>
        </w:rPr>
        <w:t>nus</w:t>
      </w:r>
      <w:r w:rsidRPr="004C7508">
        <w:rPr>
          <w:sz w:val="18"/>
          <w:szCs w:val="18"/>
          <w:lang w:val="nb-NO"/>
        </w:rPr>
        <w:t>.</w:t>
      </w:r>
      <w:r>
        <w:rPr>
          <w:rFonts w:hint="eastAsia"/>
          <w:sz w:val="18"/>
          <w:szCs w:val="18"/>
          <w:lang w:val="nb-NO" w:eastAsia="zh-CN"/>
        </w:rPr>
        <w:t>edu</w:t>
      </w:r>
      <w:r w:rsidRPr="004C7508">
        <w:rPr>
          <w:sz w:val="18"/>
          <w:szCs w:val="18"/>
          <w:lang w:val="nb-NO"/>
        </w:rPr>
        <w:t>.</w:t>
      </w:r>
      <w:r w:rsidR="00495F08">
        <w:rPr>
          <w:rFonts w:hint="eastAsia"/>
          <w:sz w:val="18"/>
          <w:szCs w:val="18"/>
          <w:lang w:val="nb-NO" w:eastAsia="zh-CN"/>
        </w:rPr>
        <w:t>sg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18E4"/>
    <w:rsid w:val="001C51B3"/>
    <w:rsid w:val="00234209"/>
    <w:rsid w:val="002537DA"/>
    <w:rsid w:val="0026297A"/>
    <w:rsid w:val="002A0A1C"/>
    <w:rsid w:val="002A2B3C"/>
    <w:rsid w:val="002B7208"/>
    <w:rsid w:val="003307DB"/>
    <w:rsid w:val="00372579"/>
    <w:rsid w:val="003B0ABD"/>
    <w:rsid w:val="00431340"/>
    <w:rsid w:val="00495F08"/>
    <w:rsid w:val="004B7E87"/>
    <w:rsid w:val="004C7508"/>
    <w:rsid w:val="004D1125"/>
    <w:rsid w:val="0059506C"/>
    <w:rsid w:val="005B77D8"/>
    <w:rsid w:val="006012A8"/>
    <w:rsid w:val="00646E7D"/>
    <w:rsid w:val="00654033"/>
    <w:rsid w:val="00665C88"/>
    <w:rsid w:val="00673656"/>
    <w:rsid w:val="006D3652"/>
    <w:rsid w:val="0070599D"/>
    <w:rsid w:val="00737EE1"/>
    <w:rsid w:val="007679DD"/>
    <w:rsid w:val="00771F6A"/>
    <w:rsid w:val="00772B06"/>
    <w:rsid w:val="007752C7"/>
    <w:rsid w:val="0078067E"/>
    <w:rsid w:val="00781D43"/>
    <w:rsid w:val="00827794"/>
    <w:rsid w:val="008856E2"/>
    <w:rsid w:val="009C71BA"/>
    <w:rsid w:val="00A46F97"/>
    <w:rsid w:val="00BE265A"/>
    <w:rsid w:val="00BF77A7"/>
    <w:rsid w:val="00C15145"/>
    <w:rsid w:val="00C17F75"/>
    <w:rsid w:val="00C4616B"/>
    <w:rsid w:val="00C67487"/>
    <w:rsid w:val="00CC179B"/>
    <w:rsid w:val="00D10E69"/>
    <w:rsid w:val="00D753D4"/>
    <w:rsid w:val="00DD4FF9"/>
    <w:rsid w:val="00EB5115"/>
    <w:rsid w:val="00EF67D1"/>
    <w:rsid w:val="00F55548"/>
    <w:rsid w:val="00FF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430</Words>
  <Characters>2623</Characters>
  <Application>Microsoft Office Word</Application>
  <DocSecurity>0</DocSecurity>
  <Lines>36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伟博 张</cp:lastModifiedBy>
  <cp:revision>7</cp:revision>
  <cp:lastPrinted>2026-04-29T01:54:00Z</cp:lastPrinted>
  <dcterms:created xsi:type="dcterms:W3CDTF">2026-04-29T01:46:00Z</dcterms:created>
  <dcterms:modified xsi:type="dcterms:W3CDTF">2026-04-29T04:56:00Z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