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56A75" w14:textId="28F84F97" w:rsidR="00431340" w:rsidRDefault="00D753D4" w:rsidP="00BF77A7">
      <w:pPr>
        <w:pStyle w:val="DocHead"/>
        <w:spacing w:before="0" w:after="0"/>
        <w:ind w:left="-119" w:right="-136" w:firstLine="119"/>
      </w:pPr>
      <w:r>
        <w:t>SIFF</w:t>
      </w:r>
      <w:r w:rsidR="00BF77A7">
        <w:t xml:space="preserve"> 2026</w:t>
      </w:r>
    </w:p>
    <w:p w14:paraId="2641CBEB" w14:textId="0714D6BB" w:rsidR="00431340" w:rsidRDefault="004D1125" w:rsidP="00BF77A7">
      <w:pPr>
        <w:pStyle w:val="DocHead"/>
        <w:spacing w:before="0" w:after="0"/>
        <w:ind w:left="-119" w:right="-136" w:firstLine="119"/>
      </w:pPr>
      <w:r>
        <w:t>Singapore International Food Forum 2026</w:t>
      </w:r>
      <w:r w:rsidR="00C17F75">
        <w:br/>
      </w:r>
    </w:p>
    <w:p w14:paraId="4538BFCD" w14:textId="3D21B913" w:rsidR="00431340" w:rsidRPr="00C67487" w:rsidRDefault="00942350" w:rsidP="00C67487">
      <w:pPr>
        <w:pStyle w:val="Els-Title"/>
        <w:rPr>
          <w:lang w:eastAsia="zh-CN"/>
        </w:rPr>
      </w:pPr>
      <w:r w:rsidRPr="00942350">
        <w:t>Effect of the physical state and dynamics of protein-chitosan complex coacervates on their multiscale structure and EGCG stabilit</w:t>
      </w:r>
      <w:r>
        <w:rPr>
          <w:rFonts w:hint="eastAsia"/>
          <w:lang w:eastAsia="zh-CN"/>
        </w:rPr>
        <w:t>y</w:t>
      </w:r>
    </w:p>
    <w:p w14:paraId="5E774EED" w14:textId="4FF64C4E" w:rsidR="00673656" w:rsidRPr="00592E43" w:rsidRDefault="00592E43" w:rsidP="00673656">
      <w:pPr>
        <w:pStyle w:val="Els-Author"/>
        <w:ind w:right="2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val="nb-NO" w:eastAsia="zh-CN"/>
        </w:rPr>
        <w:t>C.L. Nie</w:t>
      </w:r>
      <w:r w:rsidR="00C67487" w:rsidRPr="009C71BA">
        <w:rPr>
          <w:sz w:val="24"/>
          <w:szCs w:val="24"/>
          <w:vertAlign w:val="superscript"/>
          <w:lang w:val="nb-NO"/>
        </w:rPr>
        <w:t>a</w:t>
      </w:r>
      <w:r w:rsidR="00673656" w:rsidRPr="009C71BA">
        <w:rPr>
          <w:sz w:val="24"/>
          <w:szCs w:val="24"/>
          <w:lang w:val="nb-NO"/>
        </w:rPr>
        <w:t xml:space="preserve">, </w:t>
      </w:r>
      <w:r w:rsidR="00791790">
        <w:rPr>
          <w:rFonts w:hint="eastAsia"/>
          <w:sz w:val="24"/>
          <w:szCs w:val="24"/>
          <w:lang w:val="nb-NO" w:eastAsia="zh-CN"/>
        </w:rPr>
        <w:t>J.B. Zheng</w:t>
      </w:r>
      <w:r w:rsidR="00791790" w:rsidRPr="009C71BA">
        <w:rPr>
          <w:sz w:val="24"/>
          <w:szCs w:val="24"/>
          <w:vertAlign w:val="superscript"/>
          <w:lang w:val="nb-NO"/>
        </w:rPr>
        <w:t>a</w:t>
      </w:r>
      <w:r w:rsidR="00791790">
        <w:rPr>
          <w:rFonts w:hint="eastAsia"/>
          <w:sz w:val="24"/>
          <w:szCs w:val="24"/>
          <w:lang w:val="nb-NO" w:eastAsia="zh-CN"/>
        </w:rPr>
        <w:t xml:space="preserve">, </w:t>
      </w:r>
      <w:r>
        <w:rPr>
          <w:rFonts w:hint="eastAsia"/>
          <w:sz w:val="24"/>
          <w:szCs w:val="24"/>
          <w:lang w:val="nb-NO" w:eastAsia="zh-CN"/>
        </w:rPr>
        <w:t>W</w:t>
      </w:r>
      <w:r w:rsidR="004C7508" w:rsidRPr="009C71BA">
        <w:rPr>
          <w:sz w:val="24"/>
          <w:szCs w:val="24"/>
          <w:lang w:val="nb-NO"/>
        </w:rPr>
        <w:t>.</w:t>
      </w:r>
      <w:r>
        <w:rPr>
          <w:rFonts w:hint="eastAsia"/>
          <w:sz w:val="24"/>
          <w:szCs w:val="24"/>
          <w:lang w:val="nb-NO" w:eastAsia="zh-CN"/>
        </w:rPr>
        <w:t>Z.</w:t>
      </w:r>
      <w:r w:rsidR="004C7508" w:rsidRPr="009C71BA">
        <w:rPr>
          <w:sz w:val="24"/>
          <w:szCs w:val="24"/>
          <w:lang w:val="nb-NO"/>
        </w:rPr>
        <w:t xml:space="preserve"> S</w:t>
      </w:r>
      <w:r>
        <w:rPr>
          <w:rFonts w:hint="eastAsia"/>
          <w:sz w:val="24"/>
          <w:szCs w:val="24"/>
          <w:lang w:val="nb-NO" w:eastAsia="zh-CN"/>
        </w:rPr>
        <w:t>un</w:t>
      </w:r>
      <w:r>
        <w:rPr>
          <w:rFonts w:hint="eastAsia"/>
          <w:sz w:val="24"/>
          <w:szCs w:val="24"/>
          <w:vertAlign w:val="superscript"/>
          <w:lang w:val="nb-NO" w:eastAsia="zh-CN"/>
        </w:rPr>
        <w:t>a*</w:t>
      </w:r>
    </w:p>
    <w:p w14:paraId="5342D5C1" w14:textId="221BB0DE" w:rsidR="00673656" w:rsidRPr="00673656" w:rsidRDefault="00673656" w:rsidP="00431340">
      <w:pPr>
        <w:pStyle w:val="Els-Author"/>
        <w:ind w:right="2"/>
        <w:rPr>
          <w:sz w:val="28"/>
          <w:szCs w:val="28"/>
        </w:rPr>
        <w:sectPr w:rsidR="00673656" w:rsidRPr="00673656" w:rsidSect="00431340">
          <w:footnotePr>
            <w:numFmt w:val="chicago"/>
          </w:footnotePr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52CE03F" w14:textId="02FBFC6D" w:rsidR="00431340" w:rsidRPr="00234209" w:rsidRDefault="004C7508" w:rsidP="00234209">
      <w:pPr>
        <w:pStyle w:val="Els-Affiliation"/>
        <w:rPr>
          <w:iCs/>
        </w:rPr>
      </w:pPr>
      <w:r>
        <w:rPr>
          <w:vertAlign w:val="superscript"/>
          <w:lang w:val="nb-NO"/>
        </w:rPr>
        <w:t>a</w:t>
      </w:r>
      <w:r w:rsidRPr="00234209">
        <w:rPr>
          <w:lang w:val="nb-NO"/>
        </w:rPr>
        <w:t xml:space="preserve"> </w:t>
      </w:r>
      <w:r w:rsidR="00592E43" w:rsidRPr="00592E43">
        <w:rPr>
          <w:lang w:val="nb-NO"/>
        </w:rPr>
        <w:t>School of Food Science and Engineering, South China University of Technology, Guangzhou 510641, China</w:t>
      </w:r>
      <w:r w:rsidRPr="00234209">
        <w:rPr>
          <w:lang w:val="nb-NO"/>
        </w:rPr>
        <w:t xml:space="preserve"> </w:t>
      </w:r>
    </w:p>
    <w:p w14:paraId="7B4F60F1" w14:textId="0A793AFA" w:rsidR="00F333BB" w:rsidRPr="00F333BB" w:rsidRDefault="00431340" w:rsidP="00F333BB">
      <w:pPr>
        <w:pStyle w:val="Els-Abstract-head"/>
        <w:spacing w:before="120" w:after="0" w:line="240" w:lineRule="auto"/>
        <w:rPr>
          <w:sz w:val="20"/>
        </w:rPr>
      </w:pPr>
      <w:r w:rsidRPr="00BF77A7">
        <w:rPr>
          <w:sz w:val="20"/>
        </w:rPr>
        <w:t>Abstract</w:t>
      </w:r>
    </w:p>
    <w:p w14:paraId="0B7693AC" w14:textId="412FDB4E" w:rsidR="002A5D4F" w:rsidRPr="00402D07" w:rsidRDefault="00997B40" w:rsidP="00402D07">
      <w:pPr>
        <w:pStyle w:val="Els-Abstract-head"/>
        <w:spacing w:before="120" w:after="0" w:line="240" w:lineRule="auto"/>
        <w:jc w:val="both"/>
        <w:rPr>
          <w:b w:val="0"/>
          <w:bCs/>
        </w:rPr>
      </w:pPr>
      <w:r w:rsidRPr="00402D07">
        <w:rPr>
          <w:b w:val="0"/>
          <w:bCs/>
        </w:rPr>
        <w:t xml:space="preserve">Complex coacervation of biomacromolecules is a liquid-liquid phase separation (LLPS) phenomenon driven by multivalent interactions among </w:t>
      </w:r>
      <w:r w:rsidR="00132EA1" w:rsidRPr="00402D07">
        <w:rPr>
          <w:rFonts w:hint="eastAsia"/>
          <w:b w:val="0"/>
          <w:bCs/>
        </w:rPr>
        <w:t>macromolecules</w:t>
      </w:r>
      <w:r w:rsidRPr="00402D07">
        <w:rPr>
          <w:b w:val="0"/>
          <w:bCs/>
        </w:rPr>
        <w:t xml:space="preserve"> such as proteins, peptides, or polysaccharides. This process generates coacervate</w:t>
      </w:r>
      <w:r w:rsidR="00132EA1" w:rsidRPr="00402D07">
        <w:rPr>
          <w:rFonts w:hint="eastAsia"/>
          <w:b w:val="0"/>
          <w:bCs/>
        </w:rPr>
        <w:t>s</w:t>
      </w:r>
      <w:r w:rsidRPr="00402D07">
        <w:rPr>
          <w:b w:val="0"/>
          <w:bCs/>
        </w:rPr>
        <w:t xml:space="preserve"> with </w:t>
      </w:r>
      <w:r w:rsidR="008526DF" w:rsidRPr="00402D07">
        <w:rPr>
          <w:rFonts w:hint="eastAsia"/>
          <w:b w:val="0"/>
          <w:bCs/>
        </w:rPr>
        <w:t>different</w:t>
      </w:r>
      <w:r w:rsidRPr="00402D07">
        <w:rPr>
          <w:b w:val="0"/>
          <w:bCs/>
        </w:rPr>
        <w:t xml:space="preserve"> physical states, including liquid, gel, and solid forms [1, 2]. The physical state of coacervate</w:t>
      </w:r>
      <w:r w:rsidR="00080B3F" w:rsidRPr="00402D07">
        <w:rPr>
          <w:rFonts w:hint="eastAsia"/>
          <w:b w:val="0"/>
          <w:bCs/>
        </w:rPr>
        <w:t xml:space="preserve">s </w:t>
      </w:r>
      <w:r w:rsidRPr="00402D07">
        <w:rPr>
          <w:b w:val="0"/>
          <w:bCs/>
        </w:rPr>
        <w:t xml:space="preserve">is linked to their relaxation dynamics, </w:t>
      </w:r>
      <w:r w:rsidR="00CE7FAD" w:rsidRPr="00402D07">
        <w:rPr>
          <w:b w:val="0"/>
          <w:bCs/>
        </w:rPr>
        <w:t xml:space="preserve">where molecular rearrangement and energy dissipation define the </w:t>
      </w:r>
      <w:r w:rsidR="00791790">
        <w:rPr>
          <w:rFonts w:hint="eastAsia"/>
          <w:b w:val="0"/>
          <w:bCs/>
          <w:lang w:eastAsia="zh-CN"/>
        </w:rPr>
        <w:t>coacervate</w:t>
      </w:r>
      <w:r w:rsidR="00CE7FAD" w:rsidRPr="00402D07">
        <w:rPr>
          <w:b w:val="0"/>
          <w:bCs/>
        </w:rPr>
        <w:t xml:space="preserve"> internal structure.</w:t>
      </w:r>
      <w:r w:rsidR="00CE7FAD" w:rsidRPr="00402D07">
        <w:rPr>
          <w:rFonts w:hint="eastAsia"/>
          <w:b w:val="0"/>
          <w:bCs/>
        </w:rPr>
        <w:t xml:space="preserve"> </w:t>
      </w:r>
      <w:r w:rsidRPr="00402D07">
        <w:rPr>
          <w:b w:val="0"/>
          <w:bCs/>
        </w:rPr>
        <w:t xml:space="preserve">In food science, liquid coacervates formed via rapid dynamic relaxation provide long-term encapsulation stability for </w:t>
      </w:r>
      <w:r w:rsidR="002348FB">
        <w:rPr>
          <w:rFonts w:hint="eastAsia"/>
          <w:b w:val="0"/>
          <w:bCs/>
          <w:lang w:eastAsia="zh-CN"/>
        </w:rPr>
        <w:t xml:space="preserve">bioactive </w:t>
      </w:r>
      <w:r w:rsidR="002A5D4F" w:rsidRPr="00402D07">
        <w:rPr>
          <w:rFonts w:hint="eastAsia"/>
          <w:b w:val="0"/>
          <w:bCs/>
        </w:rPr>
        <w:t>small molecules</w:t>
      </w:r>
      <w:r w:rsidRPr="00402D07">
        <w:rPr>
          <w:b w:val="0"/>
          <w:bCs/>
        </w:rPr>
        <w:t xml:space="preserve"> through compartmentalized structures and concentration effects [3, 4]. </w:t>
      </w:r>
      <w:r w:rsidR="002A5D4F" w:rsidRPr="00402D07">
        <w:rPr>
          <w:rFonts w:hint="eastAsia"/>
          <w:b w:val="0"/>
          <w:bCs/>
        </w:rPr>
        <w:t xml:space="preserve">However, </w:t>
      </w:r>
      <w:r w:rsidR="002A5D4F" w:rsidRPr="00402D07">
        <w:rPr>
          <w:b w:val="0"/>
          <w:bCs/>
        </w:rPr>
        <w:t xml:space="preserve">the effect of </w:t>
      </w:r>
      <w:r w:rsidR="002348FB">
        <w:rPr>
          <w:rFonts w:hint="eastAsia"/>
          <w:b w:val="0"/>
          <w:bCs/>
          <w:lang w:eastAsia="zh-CN"/>
        </w:rPr>
        <w:t xml:space="preserve">bioactive </w:t>
      </w:r>
      <w:r w:rsidR="002A5D4F" w:rsidRPr="00402D07">
        <w:rPr>
          <w:b w:val="0"/>
          <w:bCs/>
        </w:rPr>
        <w:t xml:space="preserve">small molecules on the </w:t>
      </w:r>
      <w:r w:rsidR="002A5D4F" w:rsidRPr="00402D07">
        <w:rPr>
          <w:rFonts w:hint="eastAsia"/>
          <w:b w:val="0"/>
          <w:bCs/>
        </w:rPr>
        <w:t>dynamics</w:t>
      </w:r>
      <w:r w:rsidR="002A5D4F" w:rsidRPr="00402D07">
        <w:rPr>
          <w:b w:val="0"/>
          <w:bCs/>
        </w:rPr>
        <w:t xml:space="preserve"> of the host coacervate remains unclear. Revealing the mechanism by which </w:t>
      </w:r>
      <w:r w:rsidR="002348FB">
        <w:rPr>
          <w:rFonts w:hint="eastAsia"/>
          <w:b w:val="0"/>
          <w:bCs/>
          <w:lang w:eastAsia="zh-CN"/>
        </w:rPr>
        <w:t xml:space="preserve">bioactive </w:t>
      </w:r>
      <w:r w:rsidR="002A5D4F" w:rsidRPr="00402D07">
        <w:rPr>
          <w:b w:val="0"/>
          <w:bCs/>
        </w:rPr>
        <w:t>small molecules affect the physical state of coacervates is of great significance for the function and application of coacervates</w:t>
      </w:r>
      <w:r w:rsidR="00962FDE" w:rsidRPr="00402D07">
        <w:rPr>
          <w:rFonts w:hint="eastAsia"/>
          <w:b w:val="0"/>
          <w:bCs/>
        </w:rPr>
        <w:t xml:space="preserve"> [5, 6]</w:t>
      </w:r>
      <w:r w:rsidR="002A5D4F" w:rsidRPr="00402D07">
        <w:rPr>
          <w:b w:val="0"/>
          <w:bCs/>
        </w:rPr>
        <w:t>.</w:t>
      </w:r>
    </w:p>
    <w:p w14:paraId="1A4B8B84" w14:textId="6D83B4DE" w:rsidR="002A5D4F" w:rsidRDefault="00E96059" w:rsidP="00402D07">
      <w:pPr>
        <w:pStyle w:val="Els-Abstract-head"/>
        <w:spacing w:before="120" w:after="0" w:line="240" w:lineRule="auto"/>
        <w:jc w:val="both"/>
        <w:rPr>
          <w:b w:val="0"/>
          <w:bCs/>
        </w:rPr>
      </w:pPr>
      <w:r w:rsidRPr="00402D07">
        <w:rPr>
          <w:rFonts w:hint="eastAsia"/>
          <w:b w:val="0"/>
          <w:bCs/>
        </w:rPr>
        <w:t>Our</w:t>
      </w:r>
      <w:r w:rsidR="002A5D4F" w:rsidRPr="00402D07">
        <w:rPr>
          <w:b w:val="0"/>
          <w:bCs/>
        </w:rPr>
        <w:t xml:space="preserve"> study investigated the encapsulation of EGCG using complex coacervates formed between chitosan (CHI) and three proteins with distinct physical states: ovalbumin (OVA), β-lactoglobulin (BLG), and β-conglycinin (BCG). </w:t>
      </w:r>
      <w:r w:rsidR="00962FDE" w:rsidRPr="00402D07">
        <w:rPr>
          <w:rFonts w:hint="eastAsia"/>
          <w:b w:val="0"/>
          <w:bCs/>
        </w:rPr>
        <w:t>Results showed</w:t>
      </w:r>
      <w:r w:rsidR="002A5D4F" w:rsidRPr="00402D07">
        <w:rPr>
          <w:b w:val="0"/>
          <w:bCs/>
        </w:rPr>
        <w:t xml:space="preserve"> that EGCG addition (up to 500 </w:t>
      </w:r>
      <w:proofErr w:type="spellStart"/>
      <w:r w:rsidR="002A5D4F" w:rsidRPr="00402D07">
        <w:rPr>
          <w:b w:val="0"/>
          <w:bCs/>
        </w:rPr>
        <w:t>μg</w:t>
      </w:r>
      <w:proofErr w:type="spellEnd"/>
      <w:r w:rsidR="002A5D4F" w:rsidRPr="00402D07">
        <w:rPr>
          <w:b w:val="0"/>
          <w:bCs/>
        </w:rPr>
        <w:t xml:space="preserve">/mL) triggers a significant liquid-to-solid phase transition in initially liquid-like </w:t>
      </w:r>
      <w:r w:rsidR="00962FDE" w:rsidRPr="00402D07">
        <w:rPr>
          <w:rFonts w:hint="eastAsia"/>
          <w:b w:val="0"/>
          <w:bCs/>
        </w:rPr>
        <w:t>coacervate</w:t>
      </w:r>
      <w:r w:rsidR="002A5D4F" w:rsidRPr="00402D07">
        <w:rPr>
          <w:b w:val="0"/>
          <w:bCs/>
        </w:rPr>
        <w:t>s (OVA–CHI and BLG–CHI). SAXS and LAOS analysis further demonstrated that this transition is accompanied by protein unfolding and the formation of a fragile, strain-sensitive network compared to the inherently robust BCG–CHI solid coacervates.</w:t>
      </w:r>
      <w:r w:rsidRPr="00402D07">
        <w:rPr>
          <w:rFonts w:hint="eastAsia"/>
          <w:b w:val="0"/>
          <w:bCs/>
        </w:rPr>
        <w:t xml:space="preserve"> </w:t>
      </w:r>
      <w:r w:rsidRPr="00402D07">
        <w:rPr>
          <w:b w:val="0"/>
          <w:bCs/>
        </w:rPr>
        <w:t xml:space="preserve">Molecular dynamics simulations and LF-NMR indicated that encapsulation is primarily driven by strong hydrophobic interactions and competitive desolvation, which effectively "cross-link" the biopolymer chains while restricting water mobility. </w:t>
      </w:r>
      <w:r w:rsidR="00962FDE" w:rsidRPr="00402D07">
        <w:rPr>
          <w:b w:val="0"/>
          <w:bCs/>
        </w:rPr>
        <w:t>Notably, liquid-like coacervates provided a superior protective microenvironment, extending the EGCG half-life to 42.79 h</w:t>
      </w:r>
      <w:r w:rsidRPr="00402D07">
        <w:rPr>
          <w:b w:val="0"/>
          <w:bCs/>
        </w:rPr>
        <w:t>. These results highlight that the phase state of the coacervate is a determinant factor in its efficacy. This research provides a theor</w:t>
      </w:r>
      <w:r w:rsidRPr="00402D07">
        <w:rPr>
          <w:rFonts w:hint="eastAsia"/>
          <w:b w:val="0"/>
          <w:bCs/>
        </w:rPr>
        <w:t>y</w:t>
      </w:r>
      <w:r w:rsidRPr="00402D07">
        <w:rPr>
          <w:b w:val="0"/>
          <w:bCs/>
        </w:rPr>
        <w:t xml:space="preserve"> for the rational design of phase-optimized delivery systems for sensitive bioactive</w:t>
      </w:r>
      <w:r w:rsidR="00F333BB" w:rsidRPr="00402D07">
        <w:rPr>
          <w:rFonts w:hint="eastAsia"/>
          <w:b w:val="0"/>
          <w:bCs/>
        </w:rPr>
        <w:t xml:space="preserve"> </w:t>
      </w:r>
      <w:r w:rsidR="00F333BB" w:rsidRPr="00402D07">
        <w:rPr>
          <w:b w:val="0"/>
          <w:bCs/>
        </w:rPr>
        <w:t>compounds</w:t>
      </w:r>
      <w:r w:rsidRPr="00402D07">
        <w:rPr>
          <w:b w:val="0"/>
          <w:bCs/>
        </w:rPr>
        <w:t xml:space="preserve"> in complex food matrices.</w:t>
      </w:r>
    </w:p>
    <w:p w14:paraId="7FC97E62" w14:textId="77777777" w:rsidR="00402D07" w:rsidRPr="00402D07" w:rsidRDefault="00402D07" w:rsidP="00402D07">
      <w:pPr>
        <w:rPr>
          <w:lang w:val="en-US" w:eastAsia="zh-CN"/>
        </w:rPr>
      </w:pPr>
    </w:p>
    <w:p w14:paraId="0AE07FD0" w14:textId="77777777" w:rsidR="002A0A1C" w:rsidRPr="00C67487" w:rsidRDefault="002A0A1C" w:rsidP="00665C88">
      <w:pPr>
        <w:pStyle w:val="Els-keywords"/>
        <w:spacing w:after="120" w:line="240" w:lineRule="auto"/>
        <w:rPr>
          <w:b/>
          <w:sz w:val="20"/>
        </w:rPr>
      </w:pPr>
      <w:r w:rsidRPr="00C67487">
        <w:rPr>
          <w:b/>
          <w:sz w:val="20"/>
        </w:rPr>
        <w:t>References</w:t>
      </w:r>
    </w:p>
    <w:p w14:paraId="232364E3" w14:textId="2A73C5E4" w:rsidR="00962FDE" w:rsidRPr="00962FDE" w:rsidRDefault="00962FDE" w:rsidP="00962FDE">
      <w:pPr>
        <w:pStyle w:val="Els-keywords"/>
        <w:spacing w:after="120" w:line="240" w:lineRule="auto"/>
        <w:rPr>
          <w:sz w:val="20"/>
        </w:rPr>
      </w:pPr>
      <w:r w:rsidRPr="00962FDE">
        <w:rPr>
          <w:sz w:val="20"/>
        </w:rPr>
        <w:t>[1]</w:t>
      </w:r>
      <w:r w:rsidR="00402D07">
        <w:rPr>
          <w:rFonts w:hint="eastAsia"/>
          <w:sz w:val="20"/>
          <w:lang w:eastAsia="zh-CN"/>
        </w:rPr>
        <w:t xml:space="preserve"> </w:t>
      </w:r>
      <w:r w:rsidRPr="00962FDE">
        <w:rPr>
          <w:sz w:val="20"/>
        </w:rPr>
        <w:t>SING C E, PERRY S L. Recent progress in the science of complex coacervation [J]. Soft Matter, 2020, 16(12): 2885-914.</w:t>
      </w:r>
    </w:p>
    <w:p w14:paraId="07CFD877" w14:textId="3BBCAEBA" w:rsidR="00962FDE" w:rsidRPr="00F333BB" w:rsidRDefault="00962FDE" w:rsidP="00962FDE">
      <w:pPr>
        <w:pStyle w:val="Els-keywords"/>
        <w:spacing w:after="120" w:line="240" w:lineRule="auto"/>
        <w:rPr>
          <w:sz w:val="20"/>
        </w:rPr>
      </w:pPr>
      <w:r w:rsidRPr="00962FDE">
        <w:rPr>
          <w:sz w:val="20"/>
        </w:rPr>
        <w:t>[2]</w:t>
      </w:r>
      <w:r w:rsidR="00402D07">
        <w:rPr>
          <w:rFonts w:hint="eastAsia"/>
          <w:sz w:val="20"/>
          <w:lang w:eastAsia="zh-CN"/>
        </w:rPr>
        <w:t xml:space="preserve"> </w:t>
      </w:r>
      <w:r w:rsidRPr="00962FDE">
        <w:rPr>
          <w:sz w:val="20"/>
        </w:rPr>
        <w:t>SING C E. Development of the modern theory of polymeric complex coacervation [J]. Advances in Colloid and Interface Science, 2017, 239: 2-16.</w:t>
      </w:r>
      <w:r w:rsidRPr="00F333BB">
        <w:rPr>
          <w:sz w:val="20"/>
        </w:rPr>
        <w:t xml:space="preserve"> </w:t>
      </w:r>
    </w:p>
    <w:p w14:paraId="0E0E1B46" w14:textId="0B121425" w:rsidR="00962FDE" w:rsidRPr="00962FDE" w:rsidRDefault="00962FDE" w:rsidP="00962FDE">
      <w:pPr>
        <w:pStyle w:val="Els-keywords"/>
        <w:spacing w:after="120" w:line="240" w:lineRule="auto"/>
        <w:rPr>
          <w:sz w:val="20"/>
        </w:rPr>
      </w:pPr>
      <w:r w:rsidRPr="00962FDE">
        <w:rPr>
          <w:sz w:val="20"/>
        </w:rPr>
        <w:t>[3]</w:t>
      </w:r>
      <w:r w:rsidR="00402D07">
        <w:rPr>
          <w:rFonts w:hint="eastAsia"/>
          <w:sz w:val="20"/>
          <w:lang w:eastAsia="zh-CN"/>
        </w:rPr>
        <w:t xml:space="preserve"> </w:t>
      </w:r>
      <w:r w:rsidRPr="00962FDE">
        <w:rPr>
          <w:sz w:val="20"/>
        </w:rPr>
        <w:t xml:space="preserve">ZHENG J, GAO Q, GE G, et al. Encapsulation behavior of curcumin in heteroprotein complex coacervates and precipitates fabricated from </w:t>
      </w:r>
      <w:r w:rsidRPr="002A5D4F">
        <w:rPr>
          <w:sz w:val="20"/>
        </w:rPr>
        <w:t>β</w:t>
      </w:r>
      <w:r w:rsidRPr="00962FDE">
        <w:rPr>
          <w:sz w:val="20"/>
        </w:rPr>
        <w:t>-conglycinin and lysozyme [J]. Food Hydrocolloids, 2022, 133.</w:t>
      </w:r>
    </w:p>
    <w:p w14:paraId="5A3FA38B" w14:textId="1EA0A486" w:rsidR="00962FDE" w:rsidRPr="00F333BB" w:rsidRDefault="00962FDE" w:rsidP="00962FDE">
      <w:pPr>
        <w:pStyle w:val="Els-keywords"/>
        <w:spacing w:after="120" w:line="240" w:lineRule="auto"/>
        <w:rPr>
          <w:sz w:val="20"/>
        </w:rPr>
      </w:pPr>
      <w:r w:rsidRPr="00962FDE">
        <w:rPr>
          <w:sz w:val="20"/>
        </w:rPr>
        <w:t>[4]</w:t>
      </w:r>
      <w:r w:rsidR="00402D07">
        <w:rPr>
          <w:rFonts w:hint="eastAsia"/>
          <w:sz w:val="20"/>
          <w:lang w:eastAsia="zh-CN"/>
        </w:rPr>
        <w:t xml:space="preserve"> </w:t>
      </w:r>
      <w:r w:rsidRPr="00962FDE">
        <w:rPr>
          <w:sz w:val="20"/>
        </w:rPr>
        <w:t>ZHENG J, GAO Q, GE G, et al. Sodium chloride-programmed phase transition of β-conglycinin/lysozyme electrostatic complexes from amorphous precipitates to complex coacervates [J]. Food Hydrocolloids, 2022, 124.</w:t>
      </w:r>
      <w:r w:rsidRPr="00F333BB">
        <w:rPr>
          <w:sz w:val="20"/>
        </w:rPr>
        <w:t xml:space="preserve"> </w:t>
      </w:r>
    </w:p>
    <w:p w14:paraId="581B6BC4" w14:textId="5889520B" w:rsidR="00962FDE" w:rsidRPr="00F333BB" w:rsidRDefault="00962FDE" w:rsidP="00962FDE">
      <w:pPr>
        <w:pStyle w:val="Els-keywords"/>
        <w:spacing w:after="120" w:line="240" w:lineRule="auto"/>
        <w:rPr>
          <w:sz w:val="20"/>
        </w:rPr>
      </w:pPr>
      <w:r w:rsidRPr="00962FDE">
        <w:rPr>
          <w:sz w:val="20"/>
        </w:rPr>
        <w:t>[</w:t>
      </w:r>
      <w:r>
        <w:rPr>
          <w:rFonts w:hint="eastAsia"/>
          <w:sz w:val="20"/>
        </w:rPr>
        <w:t>5</w:t>
      </w:r>
      <w:r w:rsidRPr="00962FDE">
        <w:rPr>
          <w:sz w:val="20"/>
        </w:rPr>
        <w:t>]</w:t>
      </w:r>
      <w:r w:rsidR="00402D07">
        <w:rPr>
          <w:rFonts w:hint="eastAsia"/>
          <w:sz w:val="20"/>
          <w:lang w:eastAsia="zh-CN"/>
        </w:rPr>
        <w:t xml:space="preserve"> </w:t>
      </w:r>
      <w:r w:rsidRPr="00962FDE">
        <w:rPr>
          <w:sz w:val="20"/>
        </w:rPr>
        <w:t>KILGORE H R, MIKHAEL P G, OVERHOLT K J, et al. Distinct chemical environments in biomolecular condensates [J]. Nature Chemical Biology, 2024, 20(3): 291-301.</w:t>
      </w:r>
      <w:r w:rsidRPr="00F333BB">
        <w:rPr>
          <w:sz w:val="20"/>
        </w:rPr>
        <w:t xml:space="preserve"> </w:t>
      </w:r>
    </w:p>
    <w:p w14:paraId="0B6E36AB" w14:textId="29786A7C" w:rsidR="00997B40" w:rsidRDefault="00962FDE" w:rsidP="00962FDE">
      <w:pPr>
        <w:pStyle w:val="Els-keywords"/>
        <w:spacing w:after="120" w:line="240" w:lineRule="auto"/>
        <w:rPr>
          <w:sz w:val="20"/>
        </w:rPr>
      </w:pPr>
      <w:r w:rsidRPr="00962FDE">
        <w:rPr>
          <w:sz w:val="20"/>
        </w:rPr>
        <w:t>[</w:t>
      </w:r>
      <w:r>
        <w:rPr>
          <w:rFonts w:hint="eastAsia"/>
          <w:sz w:val="20"/>
        </w:rPr>
        <w:t>6</w:t>
      </w:r>
      <w:r w:rsidRPr="00962FDE">
        <w:rPr>
          <w:sz w:val="20"/>
        </w:rPr>
        <w:t>]</w:t>
      </w:r>
      <w:r w:rsidR="00402D07">
        <w:rPr>
          <w:rFonts w:hint="eastAsia"/>
          <w:sz w:val="20"/>
          <w:lang w:eastAsia="zh-CN"/>
        </w:rPr>
        <w:t xml:space="preserve"> </w:t>
      </w:r>
      <w:r w:rsidRPr="00962FDE">
        <w:rPr>
          <w:sz w:val="20"/>
        </w:rPr>
        <w:t>AMBADI THODY S, CLEMENTS H D, BANIASADI H, et al. Small-molecule properties define partitioning into biomolecular condensates [J]. Nature Chemistry, 2024, 16(11): 1794-802.</w:t>
      </w:r>
    </w:p>
    <w:p w14:paraId="3E284E57" w14:textId="77777777" w:rsidR="00997B40" w:rsidRPr="00997B40" w:rsidRDefault="00997B40" w:rsidP="00997B40">
      <w:pPr>
        <w:rPr>
          <w:lang w:val="en-US" w:eastAsia="zh-CN"/>
        </w:rPr>
      </w:pPr>
    </w:p>
    <w:sectPr w:rsidR="00997B40" w:rsidRPr="00997B40" w:rsidSect="00431340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73F22" w14:textId="77777777" w:rsidR="007B534D" w:rsidRDefault="007B534D" w:rsidP="00431340">
      <w:pPr>
        <w:spacing w:after="0" w:line="240" w:lineRule="auto"/>
      </w:pPr>
      <w:r>
        <w:separator/>
      </w:r>
    </w:p>
  </w:endnote>
  <w:endnote w:type="continuationSeparator" w:id="0">
    <w:p w14:paraId="6DC06129" w14:textId="77777777" w:rsidR="007B534D" w:rsidRDefault="007B534D" w:rsidP="00431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F682B" w14:textId="77777777" w:rsidR="007B534D" w:rsidRDefault="007B534D" w:rsidP="00431340">
      <w:pPr>
        <w:spacing w:after="0" w:line="240" w:lineRule="auto"/>
      </w:pPr>
      <w:r>
        <w:separator/>
      </w:r>
    </w:p>
  </w:footnote>
  <w:footnote w:type="continuationSeparator" w:id="0">
    <w:p w14:paraId="03C3061F" w14:textId="77777777" w:rsidR="007B534D" w:rsidRDefault="007B534D" w:rsidP="004313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205803"/>
    <w:multiLevelType w:val="multilevel"/>
    <w:tmpl w:val="1E2855A8"/>
    <w:lvl w:ilvl="0">
      <w:start w:val="1"/>
      <w:numFmt w:val="decimal"/>
      <w:pStyle w:val="Els-1storder-head"/>
      <w:suff w:val="space"/>
      <w:lvlText w:val="%1."/>
      <w:lvlJc w:val="left"/>
      <w:pPr>
        <w:ind w:left="0" w:firstLine="0"/>
      </w:pPr>
    </w:lvl>
    <w:lvl w:ilvl="1">
      <w:start w:val="1"/>
      <w:numFmt w:val="decimal"/>
      <w:pStyle w:val="Els-2ndorder-head"/>
      <w:suff w:val="space"/>
      <w:lvlText w:val="%1.%2."/>
      <w:lvlJc w:val="left"/>
      <w:pPr>
        <w:ind w:left="0" w:firstLine="0"/>
      </w:pPr>
    </w:lvl>
    <w:lvl w:ilvl="2">
      <w:start w:val="1"/>
      <w:numFmt w:val="decimal"/>
      <w:pStyle w:val="Els-3rdorder-head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pStyle w:val="Els-4thorder-head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.%3.%4.%5.%6.%7.%8.%9."/>
      <w:lvlJc w:val="left"/>
      <w:pPr>
        <w:ind w:left="0" w:firstLine="0"/>
      </w:pPr>
    </w:lvl>
  </w:abstractNum>
  <w:num w:numId="1" w16cid:durableId="2121340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E2NzS2NLM0tjA1sjBR0lEKTi0uzszPAykwrAUAgXZY+ywAAAA="/>
  </w:docVars>
  <w:rsids>
    <w:rsidRoot w:val="00431340"/>
    <w:rsid w:val="00080B3F"/>
    <w:rsid w:val="000B59FC"/>
    <w:rsid w:val="00132EA1"/>
    <w:rsid w:val="001C51B3"/>
    <w:rsid w:val="00234209"/>
    <w:rsid w:val="002348FB"/>
    <w:rsid w:val="002537DA"/>
    <w:rsid w:val="002A0A1C"/>
    <w:rsid w:val="002A2B3C"/>
    <w:rsid w:val="002A5D4F"/>
    <w:rsid w:val="00372579"/>
    <w:rsid w:val="003B0ABD"/>
    <w:rsid w:val="00402D07"/>
    <w:rsid w:val="00431340"/>
    <w:rsid w:val="004379EF"/>
    <w:rsid w:val="004B7E87"/>
    <w:rsid w:val="004C0C4A"/>
    <w:rsid w:val="004C7508"/>
    <w:rsid w:val="004D1125"/>
    <w:rsid w:val="00526048"/>
    <w:rsid w:val="00592E43"/>
    <w:rsid w:val="0059506C"/>
    <w:rsid w:val="005A2736"/>
    <w:rsid w:val="005B77D8"/>
    <w:rsid w:val="00623AFC"/>
    <w:rsid w:val="00646E7D"/>
    <w:rsid w:val="00654033"/>
    <w:rsid w:val="00665C88"/>
    <w:rsid w:val="00673656"/>
    <w:rsid w:val="006D3652"/>
    <w:rsid w:val="0070599D"/>
    <w:rsid w:val="007679DD"/>
    <w:rsid w:val="00772B06"/>
    <w:rsid w:val="007752C7"/>
    <w:rsid w:val="0078067E"/>
    <w:rsid w:val="00781D43"/>
    <w:rsid w:val="00791790"/>
    <w:rsid w:val="007B4C28"/>
    <w:rsid w:val="007B534D"/>
    <w:rsid w:val="00827794"/>
    <w:rsid w:val="008526DF"/>
    <w:rsid w:val="008D3B27"/>
    <w:rsid w:val="00942350"/>
    <w:rsid w:val="00962FDE"/>
    <w:rsid w:val="00997B40"/>
    <w:rsid w:val="009C71BA"/>
    <w:rsid w:val="00A73AD8"/>
    <w:rsid w:val="00B2250A"/>
    <w:rsid w:val="00BE265A"/>
    <w:rsid w:val="00BF77A7"/>
    <w:rsid w:val="00C17F75"/>
    <w:rsid w:val="00C4616B"/>
    <w:rsid w:val="00C67487"/>
    <w:rsid w:val="00CC179B"/>
    <w:rsid w:val="00CE7FAD"/>
    <w:rsid w:val="00D10E69"/>
    <w:rsid w:val="00D753D4"/>
    <w:rsid w:val="00DD3145"/>
    <w:rsid w:val="00DD4FF9"/>
    <w:rsid w:val="00E96059"/>
    <w:rsid w:val="00F333BB"/>
    <w:rsid w:val="00F55548"/>
    <w:rsid w:val="00F86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D8A8A0"/>
  <w14:defaultImageDpi w14:val="330"/>
  <w15:chartTrackingRefBased/>
  <w15:docId w15:val="{93FFE5C1-BAE5-4AF8-9349-7A14C761A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ls-Abstract-head">
    <w:name w:val="Els-Abstract-head"/>
    <w:next w:val="a"/>
    <w:rsid w:val="00431340"/>
    <w:pPr>
      <w:keepNext/>
      <w:pBdr>
        <w:top w:val="single" w:sz="4" w:space="10" w:color="auto"/>
      </w:pBdr>
      <w:suppressAutoHyphens/>
      <w:spacing w:after="220" w:line="220" w:lineRule="exact"/>
    </w:pPr>
    <w:rPr>
      <w:rFonts w:ascii="Times New Roman" w:eastAsia="宋体" w:hAnsi="Times New Roman" w:cs="Times New Roman"/>
      <w:b/>
      <w:sz w:val="18"/>
      <w:szCs w:val="20"/>
      <w:lang w:val="en-US"/>
    </w:rPr>
  </w:style>
  <w:style w:type="paragraph" w:customStyle="1" w:styleId="Els-Abstract-text">
    <w:name w:val="Els-Abstract-text"/>
    <w:next w:val="a"/>
    <w:rsid w:val="00431340"/>
    <w:pPr>
      <w:spacing w:after="0" w:line="220" w:lineRule="exact"/>
      <w:jc w:val="both"/>
    </w:pPr>
    <w:rPr>
      <w:rFonts w:ascii="Times New Roman" w:eastAsia="宋体" w:hAnsi="Times New Roman" w:cs="Times New Roman"/>
      <w:sz w:val="18"/>
      <w:szCs w:val="20"/>
      <w:lang w:val="en-US"/>
    </w:rPr>
  </w:style>
  <w:style w:type="paragraph" w:customStyle="1" w:styleId="Els-Affiliation">
    <w:name w:val="Els-Affiliation"/>
    <w:next w:val="Els-Abstract-head"/>
    <w:rsid w:val="00431340"/>
    <w:pPr>
      <w:suppressAutoHyphens/>
      <w:spacing w:after="0" w:line="200" w:lineRule="exact"/>
      <w:jc w:val="center"/>
    </w:pPr>
    <w:rPr>
      <w:rFonts w:ascii="Times New Roman" w:eastAsia="宋体" w:hAnsi="Times New Roman" w:cs="Times New Roman"/>
      <w:i/>
      <w:noProof/>
      <w:sz w:val="16"/>
      <w:szCs w:val="20"/>
      <w:lang w:val="en-US"/>
    </w:rPr>
  </w:style>
  <w:style w:type="paragraph" w:customStyle="1" w:styleId="Els-Author">
    <w:name w:val="Els-Author"/>
    <w:next w:val="a"/>
    <w:rsid w:val="00431340"/>
    <w:pPr>
      <w:keepNext/>
      <w:suppressAutoHyphens/>
      <w:spacing w:line="300" w:lineRule="exact"/>
      <w:jc w:val="center"/>
    </w:pPr>
    <w:rPr>
      <w:rFonts w:ascii="Times New Roman" w:eastAsia="宋体" w:hAnsi="Times New Roman" w:cs="Times New Roman"/>
      <w:noProof/>
      <w:sz w:val="26"/>
      <w:szCs w:val="20"/>
      <w:lang w:val="en-US"/>
    </w:rPr>
  </w:style>
  <w:style w:type="paragraph" w:customStyle="1" w:styleId="Els-footnote">
    <w:name w:val="Els-footnote"/>
    <w:rsid w:val="00431340"/>
    <w:pPr>
      <w:keepLines/>
      <w:widowControl w:val="0"/>
      <w:spacing w:after="0" w:line="200" w:lineRule="exact"/>
      <w:ind w:firstLine="245"/>
      <w:jc w:val="both"/>
    </w:pPr>
    <w:rPr>
      <w:rFonts w:ascii="Times New Roman" w:eastAsia="宋体" w:hAnsi="Times New Roman" w:cs="Times New Roman"/>
      <w:sz w:val="16"/>
      <w:szCs w:val="20"/>
      <w:lang w:val="en-US"/>
    </w:rPr>
  </w:style>
  <w:style w:type="paragraph" w:customStyle="1" w:styleId="Els-Title">
    <w:name w:val="Els-Title"/>
    <w:next w:val="Els-Author"/>
    <w:autoRedefine/>
    <w:rsid w:val="00C67487"/>
    <w:pPr>
      <w:suppressAutoHyphens/>
      <w:spacing w:after="240" w:line="400" w:lineRule="exact"/>
      <w:jc w:val="center"/>
    </w:pPr>
    <w:rPr>
      <w:rFonts w:ascii="Times New Roman" w:eastAsia="宋体" w:hAnsi="Times New Roman" w:cs="Times New Roman"/>
      <w:sz w:val="32"/>
      <w:szCs w:val="32"/>
      <w:lang w:val="en-US"/>
    </w:rPr>
  </w:style>
  <w:style w:type="paragraph" w:customStyle="1" w:styleId="DocHead">
    <w:name w:val="DocHead"/>
    <w:rsid w:val="00431340"/>
    <w:pPr>
      <w:spacing w:before="240" w:after="240" w:line="240" w:lineRule="auto"/>
      <w:jc w:val="center"/>
    </w:pPr>
    <w:rPr>
      <w:rFonts w:ascii="Times New Roman" w:eastAsia="宋体" w:hAnsi="Times New Roman" w:cs="Times New Roman"/>
      <w:sz w:val="24"/>
      <w:szCs w:val="20"/>
      <w:lang w:val="en-US"/>
    </w:rPr>
  </w:style>
  <w:style w:type="paragraph" w:customStyle="1" w:styleId="Els-1storder-head">
    <w:name w:val="Els-1storder-head"/>
    <w:next w:val="a"/>
    <w:rsid w:val="00431340"/>
    <w:pPr>
      <w:keepNext/>
      <w:numPr>
        <w:numId w:val="1"/>
      </w:numPr>
      <w:suppressAutoHyphens/>
      <w:spacing w:before="240" w:after="240" w:line="240" w:lineRule="exact"/>
    </w:pPr>
    <w:rPr>
      <w:rFonts w:ascii="Times New Roman" w:eastAsia="宋体" w:hAnsi="Times New Roman" w:cs="Times New Roman"/>
      <w:b/>
      <w:sz w:val="20"/>
      <w:szCs w:val="20"/>
      <w:lang w:val="en-US"/>
    </w:rPr>
  </w:style>
  <w:style w:type="paragraph" w:customStyle="1" w:styleId="Els-2ndorder-head">
    <w:name w:val="Els-2ndorder-head"/>
    <w:next w:val="a"/>
    <w:rsid w:val="00431340"/>
    <w:pPr>
      <w:keepNext/>
      <w:numPr>
        <w:ilvl w:val="1"/>
        <w:numId w:val="1"/>
      </w:numPr>
      <w:suppressAutoHyphens/>
      <w:spacing w:before="240" w:after="240" w:line="240" w:lineRule="exact"/>
    </w:pPr>
    <w:rPr>
      <w:rFonts w:ascii="Times New Roman" w:eastAsia="宋体" w:hAnsi="Times New Roman" w:cs="Times New Roman"/>
      <w:i/>
      <w:sz w:val="20"/>
      <w:szCs w:val="20"/>
      <w:lang w:val="en-US"/>
    </w:rPr>
  </w:style>
  <w:style w:type="paragraph" w:customStyle="1" w:styleId="Els-3rdorder-head">
    <w:name w:val="Els-3rdorder-head"/>
    <w:next w:val="a"/>
    <w:rsid w:val="00431340"/>
    <w:pPr>
      <w:keepNext/>
      <w:numPr>
        <w:ilvl w:val="2"/>
        <w:numId w:val="1"/>
      </w:numPr>
      <w:suppressAutoHyphens/>
      <w:spacing w:before="240" w:after="0" w:line="240" w:lineRule="exact"/>
    </w:pPr>
    <w:rPr>
      <w:rFonts w:ascii="Times New Roman" w:eastAsia="宋体" w:hAnsi="Times New Roman" w:cs="Times New Roman"/>
      <w:i/>
      <w:sz w:val="20"/>
      <w:szCs w:val="20"/>
      <w:lang w:val="en-US"/>
    </w:rPr>
  </w:style>
  <w:style w:type="paragraph" w:customStyle="1" w:styleId="Els-4thorder-head">
    <w:name w:val="Els-4thorder-head"/>
    <w:next w:val="a"/>
    <w:rsid w:val="00431340"/>
    <w:pPr>
      <w:keepNext/>
      <w:numPr>
        <w:ilvl w:val="3"/>
        <w:numId w:val="1"/>
      </w:numPr>
      <w:suppressAutoHyphens/>
      <w:spacing w:before="240" w:after="0" w:line="240" w:lineRule="exact"/>
    </w:pPr>
    <w:rPr>
      <w:rFonts w:ascii="Times New Roman" w:eastAsia="宋体" w:hAnsi="Times New Roman" w:cs="Times New Roman"/>
      <w:i/>
      <w:sz w:val="20"/>
      <w:szCs w:val="20"/>
      <w:lang w:val="en-US"/>
    </w:rPr>
  </w:style>
  <w:style w:type="paragraph" w:customStyle="1" w:styleId="Els-keywords">
    <w:name w:val="Els-keywords"/>
    <w:next w:val="a"/>
    <w:rsid w:val="00431340"/>
    <w:pPr>
      <w:pBdr>
        <w:bottom w:val="single" w:sz="4" w:space="10" w:color="auto"/>
      </w:pBdr>
      <w:spacing w:after="200" w:line="200" w:lineRule="exact"/>
    </w:pPr>
    <w:rPr>
      <w:rFonts w:ascii="Times New Roman" w:eastAsia="宋体" w:hAnsi="Times New Roman" w:cs="Times New Roman"/>
      <w:noProof/>
      <w:sz w:val="16"/>
      <w:szCs w:val="20"/>
      <w:lang w:val="en-US"/>
    </w:rPr>
  </w:style>
  <w:style w:type="paragraph" w:styleId="a3">
    <w:name w:val="header"/>
    <w:basedOn w:val="a"/>
    <w:link w:val="a4"/>
    <w:uiPriority w:val="99"/>
    <w:unhideWhenUsed/>
    <w:rsid w:val="00D10E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页眉 字符"/>
    <w:basedOn w:val="a0"/>
    <w:link w:val="a3"/>
    <w:uiPriority w:val="99"/>
    <w:rsid w:val="00D10E69"/>
  </w:style>
  <w:style w:type="paragraph" w:styleId="a5">
    <w:name w:val="footer"/>
    <w:basedOn w:val="a"/>
    <w:link w:val="a6"/>
    <w:uiPriority w:val="99"/>
    <w:unhideWhenUsed/>
    <w:rsid w:val="00D10E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页脚 字符"/>
    <w:basedOn w:val="a0"/>
    <w:link w:val="a5"/>
    <w:uiPriority w:val="99"/>
    <w:rsid w:val="00D10E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8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27d05e4-7e54-4bca-b3a9-641ceb3a267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1AA24E98C69743A7BF717E9530DB95" ma:contentTypeVersion="9" ma:contentTypeDescription="Create a new document." ma:contentTypeScope="" ma:versionID="4616b87239332432b97eb07286909149">
  <xsd:schema xmlns:xsd="http://www.w3.org/2001/XMLSchema" xmlns:xs="http://www.w3.org/2001/XMLSchema" xmlns:p="http://schemas.microsoft.com/office/2006/metadata/properties" xmlns:ns3="d27d05e4-7e54-4bca-b3a9-641ceb3a267a" targetNamespace="http://schemas.microsoft.com/office/2006/metadata/properties" ma:root="true" ma:fieldsID="72fef82b6cec19807c450b2670b20daf" ns3:_="">
    <xsd:import namespace="d27d05e4-7e54-4bca-b3a9-641ceb3a267a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7d05e4-7e54-4bca-b3a9-641ceb3a267a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39410-E0F5-492F-9F5C-B435CDF4F96A}">
  <ds:schemaRefs>
    <ds:schemaRef ds:uri="http://schemas.microsoft.com/office/2006/metadata/properties"/>
    <ds:schemaRef ds:uri="http://schemas.microsoft.com/office/infopath/2007/PartnerControls"/>
    <ds:schemaRef ds:uri="d27d05e4-7e54-4bca-b3a9-641ceb3a267a"/>
  </ds:schemaRefs>
</ds:datastoreItem>
</file>

<file path=customXml/itemProps2.xml><?xml version="1.0" encoding="utf-8"?>
<ds:datastoreItem xmlns:ds="http://schemas.openxmlformats.org/officeDocument/2006/customXml" ds:itemID="{726F0403-E370-494D-B765-20D2FD7589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6EFCDA-EE0B-4F8D-B7B2-B495F7F5CC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7d05e4-7e54-4bca-b3a9-641ceb3a26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9A82A5F-72B7-4901-A265-423F78BF8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666</TotalTime>
  <Pages>1</Pages>
  <Words>534</Words>
  <Characters>3048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NTNU</Company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Karlsaune</dc:creator>
  <cp:keywords/>
  <dc:description/>
  <cp:lastModifiedBy>Chunlin Nie</cp:lastModifiedBy>
  <cp:revision>8</cp:revision>
  <dcterms:created xsi:type="dcterms:W3CDTF">2026-02-04T06:37:00Z</dcterms:created>
  <dcterms:modified xsi:type="dcterms:W3CDTF">2026-04-30T09:14:00Z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0x010100A11AA24E98C69743A7BF717E9530DB95</vt:lpwstr>
  </property>
</Properties>
</file>