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AC76E0A" w14:textId="45B38608" w:rsidR="00F56FD6" w:rsidRPr="00F56FD6" w:rsidRDefault="00F56FD6" w:rsidP="0045447A">
      <w:pPr>
        <w:pStyle w:val="Els-Title"/>
      </w:pPr>
      <w:r>
        <w:t xml:space="preserve">Antimicrobial Peptide Cocktail Formulation as Non-antibiotic Mitigants to Control Bacterial Contamination in Cultured Meat Production </w:t>
      </w:r>
    </w:p>
    <w:p w14:paraId="5342D5C1" w14:textId="64D85026" w:rsidR="00673656" w:rsidRPr="0045447A" w:rsidRDefault="0045447A" w:rsidP="0045447A">
      <w:pPr>
        <w:pStyle w:val="Els-Author"/>
        <w:ind w:right="2"/>
        <w:rPr>
          <w:sz w:val="24"/>
          <w:szCs w:val="24"/>
        </w:rPr>
        <w:sectPr w:rsidR="00673656" w:rsidRPr="0045447A" w:rsidSect="004544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247" w:right="1247" w:bottom="1247" w:left="1247" w:header="709" w:footer="709" w:gutter="0"/>
          <w:cols w:space="708"/>
          <w:docGrid w:linePitch="360"/>
        </w:sectPr>
      </w:pPr>
      <w:r>
        <w:rPr>
          <w:sz w:val="24"/>
          <w:szCs w:val="24"/>
          <w:lang w:val="nb-NO"/>
        </w:rPr>
        <w:t>O</w:t>
      </w:r>
      <w:r w:rsidR="004C7508" w:rsidRPr="009C71BA">
        <w:rPr>
          <w:sz w:val="24"/>
          <w:szCs w:val="24"/>
          <w:lang w:val="nb-NO"/>
        </w:rPr>
        <w:t xml:space="preserve">.J. </w:t>
      </w:r>
      <w:r>
        <w:rPr>
          <w:sz w:val="24"/>
          <w:szCs w:val="24"/>
          <w:lang w:val="nb-NO"/>
        </w:rPr>
        <w:t>Esua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  <w:lang w:val="nb-NO"/>
        </w:rPr>
        <w:t>,b,c</w:t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S.S</w:t>
      </w:r>
      <w:r w:rsidR="004C7508" w:rsidRPr="009C71BA">
        <w:rPr>
          <w:sz w:val="24"/>
          <w:szCs w:val="24"/>
          <w:lang w:val="nb-NO"/>
        </w:rPr>
        <w:t xml:space="preserve">. </w:t>
      </w:r>
      <w:r>
        <w:rPr>
          <w:sz w:val="24"/>
          <w:szCs w:val="24"/>
          <w:lang w:val="nb-NO"/>
        </w:rPr>
        <w:t>Leonardi</w:t>
      </w:r>
      <w:r>
        <w:rPr>
          <w:sz w:val="24"/>
          <w:szCs w:val="24"/>
          <w:vertAlign w:val="superscript"/>
          <w:lang w:val="nb-NO"/>
        </w:rPr>
        <w:t>a,b</w:t>
      </w:r>
      <w:r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 I</w:t>
      </w:r>
      <w:r w:rsidRPr="009C71BA">
        <w:rPr>
          <w:sz w:val="24"/>
          <w:szCs w:val="24"/>
          <w:lang w:val="nb-NO"/>
        </w:rPr>
        <w:t xml:space="preserve">. </w:t>
      </w:r>
      <w:r>
        <w:rPr>
          <w:sz w:val="24"/>
          <w:szCs w:val="24"/>
          <w:lang w:val="nb-NO"/>
        </w:rPr>
        <w:t>Yak</w:t>
      </w:r>
      <w:r>
        <w:rPr>
          <w:sz w:val="24"/>
          <w:szCs w:val="24"/>
          <w:lang w:val="nb-NO"/>
        </w:rPr>
        <w:t>i</w:t>
      </w:r>
      <w:r>
        <w:rPr>
          <w:sz w:val="24"/>
          <w:szCs w:val="24"/>
          <w:lang w:val="nb-NO"/>
        </w:rPr>
        <w:t>r</w:t>
      </w:r>
      <w:r w:rsidRPr="009C71BA">
        <w:rPr>
          <w:sz w:val="24"/>
          <w:szCs w:val="24"/>
          <w:vertAlign w:val="superscript"/>
          <w:lang w:val="nb-NO"/>
        </w:rPr>
        <w:t>b</w:t>
      </w:r>
      <w:r>
        <w:rPr>
          <w:sz w:val="24"/>
          <w:szCs w:val="24"/>
          <w:vertAlign w:val="superscript"/>
          <w:lang w:val="nb-NO"/>
        </w:rPr>
        <w:t>,d,e</w:t>
      </w:r>
      <w:r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V</w:t>
      </w:r>
      <w:r w:rsidRPr="009C71BA">
        <w:rPr>
          <w:sz w:val="24"/>
          <w:szCs w:val="24"/>
          <w:lang w:val="nb-NO"/>
        </w:rPr>
        <w:t xml:space="preserve">. </w:t>
      </w:r>
      <w:r>
        <w:rPr>
          <w:sz w:val="24"/>
          <w:szCs w:val="24"/>
          <w:lang w:val="nb-NO"/>
        </w:rPr>
        <w:t>Ghate</w:t>
      </w:r>
      <w:r>
        <w:rPr>
          <w:sz w:val="24"/>
          <w:szCs w:val="24"/>
          <w:vertAlign w:val="superscript"/>
          <w:lang w:val="nb-NO"/>
        </w:rPr>
        <w:t>a,b</w:t>
      </w:r>
      <w:r>
        <w:rPr>
          <w:sz w:val="24"/>
          <w:szCs w:val="24"/>
          <w:vertAlign w:val="superscript"/>
          <w:lang w:val="nb-NO"/>
        </w:rPr>
        <w:t>,f</w:t>
      </w:r>
      <w:r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W</w:t>
      </w:r>
      <w:r w:rsidRPr="009C71BA">
        <w:rPr>
          <w:sz w:val="24"/>
          <w:szCs w:val="24"/>
          <w:lang w:val="nb-NO"/>
        </w:rPr>
        <w:t xml:space="preserve">. </w:t>
      </w:r>
      <w:r>
        <w:rPr>
          <w:sz w:val="24"/>
          <w:szCs w:val="24"/>
          <w:lang w:val="nb-NO"/>
        </w:rPr>
        <w:t>Zhou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  <w:lang w:val="nb-NO"/>
        </w:rPr>
        <w:t>,b,</w:t>
      </w:r>
      <w:r>
        <w:rPr>
          <w:sz w:val="24"/>
          <w:szCs w:val="24"/>
          <w:vertAlign w:val="superscript"/>
          <w:lang w:val="nb-NO"/>
        </w:rPr>
        <w:t>f</w:t>
      </w:r>
      <w:r w:rsidRPr="009C71BA">
        <w:rPr>
          <w:sz w:val="24"/>
          <w:szCs w:val="24"/>
          <w:vertAlign w:val="superscript"/>
        </w:rPr>
        <w:footnoteReference w:id="1"/>
      </w:r>
      <w:r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V</w:t>
      </w:r>
      <w:r w:rsidRPr="009C71BA">
        <w:rPr>
          <w:sz w:val="24"/>
          <w:szCs w:val="24"/>
          <w:lang w:val="nb-NO"/>
        </w:rPr>
        <w:t xml:space="preserve">. </w:t>
      </w:r>
      <w:r>
        <w:rPr>
          <w:sz w:val="24"/>
          <w:szCs w:val="24"/>
          <w:lang w:val="nb-NO"/>
        </w:rPr>
        <w:t>Hayouka</w:t>
      </w:r>
      <w:r w:rsidRPr="009C71BA">
        <w:rPr>
          <w:sz w:val="24"/>
          <w:szCs w:val="24"/>
          <w:vertAlign w:val="superscript"/>
          <w:lang w:val="nb-NO"/>
        </w:rPr>
        <w:t>b</w:t>
      </w:r>
      <w:r>
        <w:rPr>
          <w:sz w:val="24"/>
          <w:szCs w:val="24"/>
          <w:vertAlign w:val="superscript"/>
          <w:lang w:val="nb-NO"/>
        </w:rPr>
        <w:t>,e</w:t>
      </w:r>
      <w:r w:rsidRPr="009C71BA"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lang w:val="nb-NO"/>
        </w:rPr>
        <w:t xml:space="preserve">  </w:t>
      </w:r>
    </w:p>
    <w:p w14:paraId="6BC69F75" w14:textId="77777777" w:rsidR="0045447A" w:rsidRPr="0045447A" w:rsidRDefault="0045447A" w:rsidP="0061550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a </w:t>
      </w: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Department of Food Science and Technology, National University of Singapore, Science Drive 2, 117542, Singapore</w:t>
      </w:r>
    </w:p>
    <w:p w14:paraId="3DE0384D" w14:textId="77777777" w:rsidR="0045447A" w:rsidRPr="0045447A" w:rsidRDefault="0045447A" w:rsidP="00615501">
      <w:pPr>
        <w:adjustRightInd w:val="0"/>
        <w:snapToGrid w:val="0"/>
        <w:spacing w:after="0" w:line="240" w:lineRule="auto"/>
        <w:ind w:right="-15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b </w:t>
      </w: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Singapore-HUJ Alliance for Research and Enterprise (SHARE), Innovation Wing, 1 CREATE Way, 138620, Singapore </w:t>
      </w:r>
    </w:p>
    <w:p w14:paraId="5DDCB1EB" w14:textId="77777777" w:rsidR="0045447A" w:rsidRPr="0045447A" w:rsidRDefault="0045447A" w:rsidP="00615501">
      <w:pPr>
        <w:adjustRightInd w:val="0"/>
        <w:snapToGrid w:val="0"/>
        <w:spacing w:after="0" w:line="240" w:lineRule="auto"/>
        <w:ind w:right="-15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c </w:t>
      </w:r>
      <w:r w:rsidRPr="0045447A">
        <w:rPr>
          <w:rFonts w:ascii="Times New Roman" w:hAnsi="Times New Roman" w:cs="Times New Roman"/>
          <w:i/>
          <w:iCs/>
          <w:sz w:val="16"/>
          <w:szCs w:val="16"/>
        </w:rPr>
        <w:t>Department of Agricultural and Food Engineering, Faculty of Engineering, University of Uyo, Uyo 520101, Nigeria</w:t>
      </w:r>
    </w:p>
    <w:p w14:paraId="76A27D4D" w14:textId="77777777" w:rsidR="0045447A" w:rsidRPr="0045447A" w:rsidRDefault="0045447A" w:rsidP="00615501">
      <w:pPr>
        <w:adjustRightInd w:val="0"/>
        <w:snapToGrid w:val="0"/>
        <w:spacing w:after="0" w:line="240" w:lineRule="auto"/>
        <w:ind w:right="-15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en-GB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d </w:t>
      </w: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en-GB"/>
        </w:rPr>
        <w:t>School of Materials Science and Engineering, Nanyang Technological University, 50 Nanyang Drive, 637553, Singapore</w:t>
      </w:r>
    </w:p>
    <w:p w14:paraId="52ADF99E" w14:textId="77777777" w:rsidR="0045447A" w:rsidRPr="0045447A" w:rsidRDefault="0045447A" w:rsidP="00615501">
      <w:pPr>
        <w:adjustRightInd w:val="0"/>
        <w:snapToGrid w:val="0"/>
        <w:spacing w:after="0" w:line="240" w:lineRule="auto"/>
        <w:ind w:right="-15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en-GB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e </w:t>
      </w: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en-GB"/>
        </w:rPr>
        <w:t>Institute of Biochemistry, Food Science and Nutrition, The Hebrew University of Jerusalem, Rehovot, 76100, Israel</w:t>
      </w:r>
    </w:p>
    <w:p w14:paraId="774E0BF8" w14:textId="77777777" w:rsidR="0045447A" w:rsidRPr="0045447A" w:rsidRDefault="0045447A" w:rsidP="0045447A">
      <w:pPr>
        <w:adjustRightInd w:val="0"/>
        <w:snapToGrid w:val="0"/>
        <w:spacing w:after="0" w:line="480" w:lineRule="auto"/>
        <w:ind w:right="-15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 xml:space="preserve">f </w:t>
      </w:r>
      <w:r w:rsidRPr="0045447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National University of Singapore (Suzhou) Research Institute, Suzhou Industrial Park, Jiangsu, 215123,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5750335E" w14:textId="1FA80C6C" w:rsidR="00615501" w:rsidRDefault="00615501" w:rsidP="00615501">
      <w:pPr>
        <w:pStyle w:val="Els-Abstract-head"/>
        <w:spacing w:before="120" w:after="0" w:line="240" w:lineRule="auto"/>
        <w:jc w:val="both"/>
        <w:rPr>
          <w:b w:val="0"/>
          <w:bCs/>
          <w:color w:val="000000" w:themeColor="text1"/>
          <w:sz w:val="20"/>
        </w:rPr>
      </w:pPr>
      <w:r w:rsidRPr="00615501">
        <w:rPr>
          <w:b w:val="0"/>
          <w:bCs/>
          <w:color w:val="000000" w:themeColor="text1"/>
          <w:sz w:val="20"/>
        </w:rPr>
        <w:t xml:space="preserve">Cultured meat production </w:t>
      </w:r>
      <w:r>
        <w:rPr>
          <w:b w:val="0"/>
          <w:bCs/>
          <w:color w:val="000000" w:themeColor="text1"/>
          <w:sz w:val="20"/>
        </w:rPr>
        <w:t>poses unique food safety challenges due to nutrient-rich culture media, prolonged culture periods, and the absence of terminal sterilization</w:t>
      </w:r>
      <w:r w:rsidR="00BB394B">
        <w:rPr>
          <w:b w:val="0"/>
          <w:bCs/>
          <w:color w:val="000000" w:themeColor="text1"/>
          <w:sz w:val="20"/>
        </w:rPr>
        <w:t xml:space="preserve"> [1, 2]</w:t>
      </w:r>
      <w:r w:rsidRPr="00615501">
        <w:rPr>
          <w:b w:val="0"/>
          <w:bCs/>
          <w:color w:val="000000" w:themeColor="text1"/>
          <w:sz w:val="20"/>
        </w:rPr>
        <w:t>. Conventional antibiotics raise concerns regarding antimicrobial resistance, regulatory compliance, and consumer acceptance</w:t>
      </w:r>
      <w:r w:rsidR="00BB394B">
        <w:rPr>
          <w:b w:val="0"/>
          <w:bCs/>
          <w:color w:val="000000" w:themeColor="text1"/>
          <w:sz w:val="20"/>
        </w:rPr>
        <w:t xml:space="preserve"> [1]</w:t>
      </w:r>
      <w:r w:rsidRPr="00615501">
        <w:rPr>
          <w:b w:val="0"/>
          <w:bCs/>
          <w:color w:val="000000" w:themeColor="text1"/>
          <w:sz w:val="20"/>
        </w:rPr>
        <w:t xml:space="preserve">, necessitating alternative mitigation strategies. This study evaluates the potential of random antimicrobial peptides (RMPs) and naturally occurring Generally Recognised as Safe (GRAS) antibacterial agents cocktail formulations as non-antibiotic interventions to mitigate bacterial contamination in cultured meat systems. 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Our results showed that the RPMs exhibited stronger antibacterial activity against </w:t>
      </w:r>
      <w:r w:rsidRPr="00615501">
        <w:rPr>
          <w:b w:val="0"/>
          <w:bCs/>
          <w:i/>
          <w:iCs/>
          <w:color w:val="000000" w:themeColor="text1"/>
          <w:sz w:val="20"/>
          <w:lang w:val="en-GB"/>
        </w:rPr>
        <w:t xml:space="preserve">Escherichia coli </w:t>
      </w:r>
      <w:r w:rsidRPr="00615501">
        <w:rPr>
          <w:b w:val="0"/>
          <w:bCs/>
          <w:color w:val="000000" w:themeColor="text1"/>
          <w:sz w:val="20"/>
          <w:lang w:val="en-GB"/>
        </w:rPr>
        <w:t>O157:H7 (</w:t>
      </w:r>
      <w:r w:rsidRPr="00615501">
        <w:rPr>
          <w:b w:val="0"/>
          <w:bCs/>
          <w:i/>
          <w:iCs/>
          <w:color w:val="000000" w:themeColor="text1"/>
          <w:sz w:val="20"/>
          <w:lang w:val="en-GB"/>
        </w:rPr>
        <w:t>E. coli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) and methicillin-resistant </w:t>
      </w:r>
      <w:r w:rsidRPr="00615501">
        <w:rPr>
          <w:b w:val="0"/>
          <w:bCs/>
          <w:i/>
          <w:iCs/>
          <w:color w:val="000000" w:themeColor="text1"/>
          <w:sz w:val="20"/>
          <w:lang w:val="en-GB"/>
        </w:rPr>
        <w:t xml:space="preserve">Staphylococcus aureus 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(MRSA), when compared with weak acids like lactic acid and acetic acid, and amino acids like glycine and lysine, without a significant impact on mouse myoblasts and </w:t>
      </w:r>
      <w:r w:rsidRPr="00615501">
        <w:rPr>
          <w:b w:val="0"/>
          <w:bCs/>
          <w:color w:val="000000" w:themeColor="text1"/>
          <w:sz w:val="20"/>
        </w:rPr>
        <w:t xml:space="preserve">mesenchymal stem cells. 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The synergistic multi-component formulation (LK20, glycine, and lactic acid) </w:t>
      </w:r>
      <w:r w:rsidRPr="00615501">
        <w:rPr>
          <w:b w:val="0"/>
          <w:bCs/>
          <w:color w:val="000000" w:themeColor="text1"/>
          <w:sz w:val="20"/>
        </w:rPr>
        <w:t xml:space="preserve">demonstrated broad-spectrum antimicrobial activity at low concentrations, 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inhibiting 6 log CFU/mL of </w:t>
      </w:r>
      <w:r w:rsidRPr="00615501">
        <w:rPr>
          <w:b w:val="0"/>
          <w:bCs/>
          <w:i/>
          <w:iCs/>
          <w:color w:val="000000" w:themeColor="text1"/>
          <w:sz w:val="20"/>
          <w:lang w:val="en-GB"/>
        </w:rPr>
        <w:t xml:space="preserve">E. coli </w:t>
      </w:r>
      <w:r w:rsidRPr="00615501">
        <w:rPr>
          <w:b w:val="0"/>
          <w:bCs/>
          <w:color w:val="000000" w:themeColor="text1"/>
          <w:sz w:val="20"/>
          <w:lang w:val="en-GB"/>
        </w:rPr>
        <w:t xml:space="preserve">and MRSA </w:t>
      </w:r>
      <w:r w:rsidRPr="00615501">
        <w:rPr>
          <w:b w:val="0"/>
          <w:bCs/>
          <w:color w:val="000000" w:themeColor="text1"/>
          <w:sz w:val="20"/>
        </w:rPr>
        <w:t xml:space="preserve">in cell culture medium without any cytotoxicity on cell viability or proliferation. These findings support the potential of </w:t>
      </w:r>
      <w:r w:rsidR="00165A43">
        <w:rPr>
          <w:b w:val="0"/>
          <w:bCs/>
          <w:color w:val="000000" w:themeColor="text1"/>
          <w:sz w:val="20"/>
        </w:rPr>
        <w:t>RPM</w:t>
      </w:r>
      <w:r w:rsidRPr="00615501">
        <w:rPr>
          <w:b w:val="0"/>
          <w:bCs/>
          <w:color w:val="000000" w:themeColor="text1"/>
          <w:sz w:val="20"/>
        </w:rPr>
        <w:t>-based cocktails as practical, antibiotic-free mitigants to enhance biosafety in cultured meat production. The integration of such strategies may contribute to regulatory alignment and improved consumer confidence in next-generation protein systems.</w:t>
      </w:r>
    </w:p>
    <w:p w14:paraId="2DD909B9" w14:textId="77777777" w:rsidR="00615501" w:rsidRPr="00615501" w:rsidRDefault="00615501" w:rsidP="00615501">
      <w:pPr>
        <w:rPr>
          <w:lang w:val="en-US"/>
        </w:rPr>
      </w:pPr>
    </w:p>
    <w:p w14:paraId="5204EF12" w14:textId="54C2FC26" w:rsidR="00615501" w:rsidRPr="00615501" w:rsidRDefault="00615501" w:rsidP="00615501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5501">
        <w:rPr>
          <w:rStyle w:val="Heading1Char"/>
          <w:rFonts w:ascii="Times New Roman" w:eastAsiaTheme="minorHAnsi" w:hAnsi="Times New Roman"/>
          <w:color w:val="000000" w:themeColor="text1"/>
          <w:sz w:val="20"/>
          <w:szCs w:val="20"/>
          <w:lang w:val="en-IE"/>
        </w:rPr>
        <w:t>Keywords:</w:t>
      </w:r>
      <w:r w:rsidRPr="00615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Cellular agriculture, food microbial safety, antimicrobial peptides, peptide synthesis, amino acids.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BB394B">
      <w:pPr>
        <w:pStyle w:val="Els-keywords"/>
        <w:pBdr>
          <w:bottom w:val="single" w:sz="4" w:space="25" w:color="auto"/>
        </w:pBdr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3589862E" w14:textId="77777777" w:rsidR="00E2260D" w:rsidRDefault="002A0A1C" w:rsidP="00E2260D">
      <w:pPr>
        <w:pStyle w:val="Els-keywords"/>
        <w:pBdr>
          <w:bottom w:val="single" w:sz="4" w:space="25" w:color="auto"/>
        </w:pBdr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BB394B">
        <w:rPr>
          <w:sz w:val="20"/>
        </w:rPr>
        <w:t xml:space="preserve">I. </w:t>
      </w:r>
      <w:r w:rsidR="00BB394B" w:rsidRPr="00BB394B">
        <w:rPr>
          <w:sz w:val="20"/>
        </w:rPr>
        <w:t xml:space="preserve">Yakir, E. Cohen, S. Schlesinger, Z. Hayouka, </w:t>
      </w:r>
      <w:r w:rsidR="00BB394B">
        <w:rPr>
          <w:sz w:val="20"/>
        </w:rPr>
        <w:t>“</w:t>
      </w:r>
      <w:r w:rsidR="00BB394B" w:rsidRPr="00BB394B">
        <w:rPr>
          <w:sz w:val="20"/>
        </w:rPr>
        <w:t>Random Antimicrobial Peptide Mixtures as Non-antibiotic antimicrobial Agents for Cultured Meat Industry</w:t>
      </w:r>
      <w:r w:rsidR="00BB394B">
        <w:rPr>
          <w:sz w:val="20"/>
        </w:rPr>
        <w:t>”, Food Chem.: Mol. Sci., 10, 100240, 2025.</w:t>
      </w:r>
    </w:p>
    <w:p w14:paraId="64611CE3" w14:textId="55FEBCB1" w:rsidR="007E6962" w:rsidRPr="007E6962" w:rsidRDefault="002A0A1C" w:rsidP="007E6962">
      <w:pPr>
        <w:pStyle w:val="Els-keywords"/>
        <w:pBdr>
          <w:bottom w:val="single" w:sz="4" w:space="25" w:color="auto"/>
        </w:pBdr>
        <w:spacing w:after="120" w:line="240" w:lineRule="auto"/>
        <w:rPr>
          <w:sz w:val="20"/>
        </w:rPr>
      </w:pPr>
      <w:r w:rsidRPr="00C67487">
        <w:rPr>
          <w:sz w:val="20"/>
        </w:rPr>
        <w:t xml:space="preserve">[2] </w:t>
      </w:r>
      <w:r w:rsidR="007E6962" w:rsidRPr="007E6962">
        <w:rPr>
          <w:sz w:val="20"/>
        </w:rPr>
        <w:t>R</w:t>
      </w:r>
      <w:r w:rsidR="007E6962">
        <w:rPr>
          <w:sz w:val="20"/>
        </w:rPr>
        <w:t xml:space="preserve">. </w:t>
      </w:r>
      <w:r w:rsidR="007E6962" w:rsidRPr="007E6962">
        <w:rPr>
          <w:sz w:val="20"/>
        </w:rPr>
        <w:t>C. Bennett, M</w:t>
      </w:r>
      <w:r w:rsidR="007E6962">
        <w:rPr>
          <w:sz w:val="20"/>
        </w:rPr>
        <w:t>. W.</w:t>
      </w:r>
      <w:r w:rsidR="007E6962" w:rsidRPr="007E6962">
        <w:rPr>
          <w:sz w:val="20"/>
        </w:rPr>
        <w:t xml:space="preserve"> Oh, S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H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Kuo, Y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Belo, B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Maron, E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Malach,</w:t>
      </w:r>
      <w:r w:rsidR="007E6962">
        <w:rPr>
          <w:sz w:val="20"/>
        </w:rPr>
        <w:t xml:space="preserve"> </w:t>
      </w:r>
      <w:r w:rsidR="007E6962" w:rsidRPr="007E6962">
        <w:rPr>
          <w:sz w:val="20"/>
        </w:rPr>
        <w:t>J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Lin, Z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Hayouka, G</w:t>
      </w:r>
      <w:r w:rsidR="007E6962">
        <w:rPr>
          <w:sz w:val="20"/>
        </w:rPr>
        <w:t>.</w:t>
      </w:r>
      <w:r w:rsidR="007E6962" w:rsidRPr="007E6962">
        <w:rPr>
          <w:sz w:val="20"/>
        </w:rPr>
        <w:t xml:space="preserve"> W. Lau</w:t>
      </w:r>
      <w:r w:rsidR="007E6962">
        <w:rPr>
          <w:sz w:val="20"/>
        </w:rPr>
        <w:t>, “</w:t>
      </w:r>
      <w:r w:rsidR="007E6962" w:rsidRPr="007E6962">
        <w:rPr>
          <w:sz w:val="20"/>
        </w:rPr>
        <w:t>Random Peptide Mixtures as Safe and Effective Antimicrobials</w:t>
      </w:r>
      <w:r w:rsidR="007E6962">
        <w:rPr>
          <w:sz w:val="20"/>
        </w:rPr>
        <w:t xml:space="preserve"> </w:t>
      </w:r>
      <w:r w:rsidR="007E6962" w:rsidRPr="007E6962">
        <w:rPr>
          <w:sz w:val="20"/>
        </w:rPr>
        <w:t xml:space="preserve">against </w:t>
      </w:r>
      <w:r w:rsidR="007E6962" w:rsidRPr="007E6962">
        <w:rPr>
          <w:i/>
          <w:iCs/>
          <w:sz w:val="20"/>
        </w:rPr>
        <w:t>Pseudomonas aeruginosa</w:t>
      </w:r>
      <w:r w:rsidR="007E6962" w:rsidRPr="007E6962">
        <w:rPr>
          <w:sz w:val="20"/>
        </w:rPr>
        <w:t xml:space="preserve"> and MRSA in Mouse Models of</w:t>
      </w:r>
      <w:r w:rsidR="007E6962">
        <w:rPr>
          <w:sz w:val="20"/>
        </w:rPr>
        <w:t xml:space="preserve"> </w:t>
      </w:r>
      <w:r w:rsidR="007E6962" w:rsidRPr="007E6962">
        <w:rPr>
          <w:sz w:val="20"/>
        </w:rPr>
        <w:t>Bacteremia and Pneumonia</w:t>
      </w:r>
      <w:r w:rsidR="007E6962">
        <w:rPr>
          <w:sz w:val="20"/>
        </w:rPr>
        <w:t>”, ACS Infect. Dis., Vol. 7, pp. 672-680, 2021.</w:t>
      </w:r>
    </w:p>
    <w:p w14:paraId="182F29BE" w14:textId="77777777" w:rsidR="007E6962" w:rsidRPr="007E6962" w:rsidRDefault="007E6962" w:rsidP="007E6962">
      <w:pPr>
        <w:rPr>
          <w:lang w:val="en-US"/>
        </w:rPr>
      </w:pPr>
    </w:p>
    <w:p w14:paraId="14CC98DD" w14:textId="77777777" w:rsidR="00BB394B" w:rsidRDefault="00BB394B" w:rsidP="00BB394B">
      <w:pPr>
        <w:rPr>
          <w:lang w:val="en-US"/>
        </w:rPr>
      </w:pPr>
    </w:p>
    <w:p w14:paraId="1085851E" w14:textId="2B53A868" w:rsidR="007E6962" w:rsidRPr="007E6962" w:rsidRDefault="007E6962" w:rsidP="007E6962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7E6962" w:rsidRPr="007E6962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51E9" w14:textId="77777777" w:rsidR="0039498C" w:rsidRDefault="0039498C" w:rsidP="00431340">
      <w:pPr>
        <w:spacing w:after="0" w:line="240" w:lineRule="auto"/>
      </w:pPr>
      <w:r>
        <w:separator/>
      </w:r>
    </w:p>
  </w:endnote>
  <w:endnote w:type="continuationSeparator" w:id="0">
    <w:p w14:paraId="5FF51DEF" w14:textId="77777777" w:rsidR="0039498C" w:rsidRDefault="0039498C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4242" w14:textId="77777777" w:rsidR="0039498C" w:rsidRDefault="0039498C" w:rsidP="00431340">
      <w:pPr>
        <w:spacing w:after="0" w:line="240" w:lineRule="auto"/>
      </w:pPr>
      <w:r>
        <w:separator/>
      </w:r>
    </w:p>
  </w:footnote>
  <w:footnote w:type="continuationSeparator" w:id="0">
    <w:p w14:paraId="7CBC7B6B" w14:textId="77777777" w:rsidR="0039498C" w:rsidRDefault="0039498C" w:rsidP="00431340">
      <w:pPr>
        <w:spacing w:after="0" w:line="240" w:lineRule="auto"/>
      </w:pPr>
      <w:r>
        <w:continuationSeparator/>
      </w:r>
    </w:p>
  </w:footnote>
  <w:footnote w:id="1">
    <w:p w14:paraId="76B1BB22" w14:textId="1F9BAC5D" w:rsidR="0045447A" w:rsidRPr="00BF77A7" w:rsidRDefault="0045447A" w:rsidP="0045447A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Pr="004C7508">
        <w:rPr>
          <w:sz w:val="18"/>
          <w:szCs w:val="18"/>
          <w:lang w:val="nb-NO"/>
        </w:rPr>
        <w:t>w</w:t>
      </w:r>
      <w:r w:rsidR="00615501">
        <w:rPr>
          <w:sz w:val="18"/>
          <w:szCs w:val="18"/>
          <w:lang w:val="nb-NO"/>
        </w:rPr>
        <w:t>eibiao@nus.edu.sg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" w15:restartNumberingAfterBreak="0">
    <w:nsid w:val="73304B52"/>
    <w:multiLevelType w:val="hybridMultilevel"/>
    <w:tmpl w:val="4C56E8AC"/>
    <w:lvl w:ilvl="0" w:tplc="CF4C0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40923">
    <w:abstractNumId w:val="0"/>
  </w:num>
  <w:num w:numId="2" w16cid:durableId="111094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65A43"/>
    <w:rsid w:val="001C51B3"/>
    <w:rsid w:val="00234209"/>
    <w:rsid w:val="002537DA"/>
    <w:rsid w:val="002A0A1C"/>
    <w:rsid w:val="002A2B3C"/>
    <w:rsid w:val="00372579"/>
    <w:rsid w:val="0039498C"/>
    <w:rsid w:val="003B0ABD"/>
    <w:rsid w:val="00431340"/>
    <w:rsid w:val="0045447A"/>
    <w:rsid w:val="004B7E87"/>
    <w:rsid w:val="004C7508"/>
    <w:rsid w:val="004D1125"/>
    <w:rsid w:val="0059506C"/>
    <w:rsid w:val="005B77D8"/>
    <w:rsid w:val="005F7D5A"/>
    <w:rsid w:val="00615501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7E6962"/>
    <w:rsid w:val="00827794"/>
    <w:rsid w:val="008B278D"/>
    <w:rsid w:val="009C71BA"/>
    <w:rsid w:val="00BB394B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E2260D"/>
    <w:rsid w:val="00F55548"/>
    <w:rsid w:val="00F5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customStyle="1" w:styleId="Heading1Char">
    <w:name w:val="Heading 1 Char"/>
    <w:basedOn w:val="DefaultParagraphFont"/>
    <w:link w:val="Heading1"/>
    <w:uiPriority w:val="9"/>
    <w:rsid w:val="00F56FD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BB3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Okon Johnson Esua</cp:lastModifiedBy>
  <cp:revision>7</cp:revision>
  <dcterms:created xsi:type="dcterms:W3CDTF">2026-05-04T00:44:00Z</dcterms:created>
  <dcterms:modified xsi:type="dcterms:W3CDTF">2026-05-04T02:39:00Z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0c18e579-19d8-444e-a3b5-0db01ad24c73</vt:lpwstr>
  </property>
</Properties>
</file>