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CD76138" w:rsidR="00431340" w:rsidRPr="00C67487" w:rsidRDefault="00F719FE" w:rsidP="00C67487">
      <w:pPr>
        <w:pStyle w:val="Els-Title"/>
      </w:pPr>
      <w:r>
        <w:t xml:space="preserve">The Consumer Inefficiency Paradox: Quantifying Food Waste </w:t>
      </w:r>
      <w:proofErr w:type="spellStart"/>
      <w:r>
        <w:t>Behaviour</w:t>
      </w:r>
      <w:proofErr w:type="spellEnd"/>
      <w:r>
        <w:t xml:space="preserve"> in Malaysian Indian-Muslim Restaurants Using Sentiment Analysis</w:t>
      </w:r>
    </w:p>
    <w:p w14:paraId="5E774EED" w14:textId="372119DE" w:rsidR="00673656" w:rsidRPr="009C71BA" w:rsidRDefault="00F719FE" w:rsidP="00673656">
      <w:pPr>
        <w:pStyle w:val="Els-Author"/>
        <w:ind w:right="2"/>
        <w:rPr>
          <w:sz w:val="24"/>
          <w:szCs w:val="24"/>
        </w:rPr>
      </w:pPr>
      <w:r>
        <w:rPr>
          <w:sz w:val="24"/>
          <w:szCs w:val="24"/>
          <w:lang w:val="nb-NO"/>
        </w:rPr>
        <w:t>M. Manoreeta</w:t>
      </w:r>
      <w:r w:rsidR="00C67487" w:rsidRPr="009C71BA">
        <w:rPr>
          <w:sz w:val="24"/>
          <w:szCs w:val="24"/>
          <w:vertAlign w:val="superscript"/>
          <w:lang w:val="nb-NO"/>
        </w:rPr>
        <w:t>a</w:t>
      </w:r>
      <w:r>
        <w:rPr>
          <w:sz w:val="24"/>
          <w:szCs w:val="24"/>
          <w:vertAlign w:val="superscript"/>
          <w:lang w:val="nb-NO"/>
        </w:rPr>
        <w:t>1</w:t>
      </w:r>
      <w:r w:rsidR="00673656" w:rsidRPr="009C71BA">
        <w:rPr>
          <w:sz w:val="24"/>
          <w:szCs w:val="24"/>
          <w:vertAlign w:val="superscript"/>
        </w:rPr>
        <w:footnoteReference w:id="1"/>
      </w:r>
      <w:r w:rsidR="00673656" w:rsidRPr="009C71BA">
        <w:rPr>
          <w:sz w:val="24"/>
          <w:szCs w:val="24"/>
          <w:lang w:val="nb-NO"/>
        </w:rPr>
        <w:t>,</w:t>
      </w:r>
      <w:r>
        <w:rPr>
          <w:sz w:val="24"/>
          <w:szCs w:val="24"/>
          <w:lang w:val="nb-NO"/>
        </w:rPr>
        <w:t xml:space="preserve"> S.K. Dhillon</w:t>
      </w:r>
      <w:r w:rsidRPr="009C71BA">
        <w:rPr>
          <w:sz w:val="24"/>
          <w:szCs w:val="24"/>
          <w:vertAlign w:val="superscript"/>
          <w:lang w:val="nb-NO"/>
        </w:rPr>
        <w:t>a</w:t>
      </w:r>
      <w:r>
        <w:rPr>
          <w:sz w:val="24"/>
          <w:szCs w:val="24"/>
          <w:vertAlign w:val="superscript"/>
          <w:lang w:val="nb-NO"/>
        </w:rPr>
        <w:t>2</w:t>
      </w:r>
      <w:r>
        <w:rPr>
          <w:sz w:val="24"/>
          <w:szCs w:val="24"/>
          <w:lang w:val="nb-NO"/>
        </w:rPr>
        <w:t>,</w:t>
      </w:r>
      <w:r>
        <w:rPr>
          <w:sz w:val="24"/>
          <w:szCs w:val="24"/>
          <w:vertAlign w:val="superscript"/>
          <w:lang w:val="nb-NO"/>
        </w:rPr>
        <w:t xml:space="preserve"> </w:t>
      </w:r>
      <w:r>
        <w:rPr>
          <w:sz w:val="24"/>
          <w:szCs w:val="24"/>
          <w:lang w:val="nb-NO"/>
        </w:rPr>
        <w:t>N.D</w:t>
      </w:r>
      <w:r w:rsidR="004C7508" w:rsidRPr="009C71BA">
        <w:rPr>
          <w:sz w:val="24"/>
          <w:szCs w:val="24"/>
          <w:lang w:val="nb-NO"/>
        </w:rPr>
        <w:t xml:space="preserve">. </w:t>
      </w:r>
      <w:r>
        <w:rPr>
          <w:sz w:val="24"/>
          <w:szCs w:val="24"/>
          <w:lang w:val="nb-NO"/>
        </w:rPr>
        <w:t>Mogana</w:t>
      </w:r>
      <w:r w:rsidR="00673656" w:rsidRPr="009C71BA">
        <w:rPr>
          <w:sz w:val="24"/>
          <w:szCs w:val="24"/>
          <w:vertAlign w:val="superscript"/>
          <w:lang w:val="nb-NO"/>
        </w:rPr>
        <w:t>b</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61A1D2B2" w:rsidR="00431340" w:rsidRPr="00234209" w:rsidRDefault="004C7508" w:rsidP="00234209">
      <w:pPr>
        <w:pStyle w:val="Els-Affiliation"/>
        <w:rPr>
          <w:iCs/>
        </w:rPr>
      </w:pPr>
      <w:r>
        <w:rPr>
          <w:vertAlign w:val="superscript"/>
          <w:lang w:val="nb-NO"/>
        </w:rPr>
        <w:t>a</w:t>
      </w:r>
      <w:r w:rsidRPr="00234209">
        <w:rPr>
          <w:lang w:val="nb-NO"/>
        </w:rPr>
        <w:t xml:space="preserve"> </w:t>
      </w:r>
      <w:r w:rsidR="00F719FE">
        <w:rPr>
          <w:lang w:val="nb-NO"/>
        </w:rPr>
        <w:t>Institute of Biological Sciences, Faculty of Science, University of Malaya, 50603 Kuala Lumpur, Wilayah Persekutuan Kuala Lumpur, Malalysia</w:t>
      </w:r>
      <w:r w:rsidRPr="00234209">
        <w:rPr>
          <w:lang w:val="nb-NO"/>
        </w:rPr>
        <w:t xml:space="preserve"> </w:t>
      </w:r>
    </w:p>
    <w:p w14:paraId="05A3C6FA" w14:textId="7B7E22B8" w:rsidR="00431340" w:rsidRDefault="00234209" w:rsidP="00431340">
      <w:pPr>
        <w:pStyle w:val="Els-Affiliation"/>
        <w:spacing w:after="400"/>
        <w:rPr>
          <w:lang w:eastAsia="zh-CN"/>
        </w:rPr>
      </w:pPr>
      <w:r w:rsidRPr="00234209">
        <w:rPr>
          <w:vertAlign w:val="superscript"/>
          <w:lang w:val="nb-NO"/>
        </w:rPr>
        <w:t>b</w:t>
      </w:r>
      <w:r w:rsidRPr="00234209">
        <w:rPr>
          <w:lang w:val="nb-NO"/>
        </w:rPr>
        <w:t xml:space="preserve"> </w:t>
      </w:r>
      <w:r w:rsidR="00F719FE">
        <w:rPr>
          <w:lang w:val="nb-NO"/>
        </w:rPr>
        <w:t>School of Business, Monash University Malaysia, Jalan Lagoon Selatan, Bandar Sunway, 47500 Subang Jaya, Selangor.</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406A1104" w14:textId="77777777" w:rsidR="00720DC6" w:rsidRDefault="00720DC6" w:rsidP="00720DC6">
      <w:pPr>
        <w:pStyle w:val="Els-Abstract-head"/>
        <w:spacing w:before="120" w:after="0" w:line="240" w:lineRule="auto"/>
        <w:jc w:val="both"/>
        <w:rPr>
          <w:b w:val="0"/>
          <w:sz w:val="20"/>
        </w:rPr>
      </w:pPr>
      <w:r>
        <w:rPr>
          <w:b w:val="0"/>
          <w:sz w:val="20"/>
        </w:rPr>
        <w:t xml:space="preserve">As the world evolves rapidly in science and technology with advanced and creative innovation, one major issue that is still unsolved is food wastage. The Malaysian Reserve (2024) stated that food wastage is a critical issue in Malaysia, with approximately 17,000 tons of food discarded daily which around 4,005 tons are edible, enough to feed 2.9 million people with three meals a day and one of the top contributions comes from food sector. To address this issue, a thorough understanding of consumer </w:t>
      </w:r>
      <w:proofErr w:type="spellStart"/>
      <w:r>
        <w:rPr>
          <w:b w:val="0"/>
          <w:sz w:val="20"/>
        </w:rPr>
        <w:t>behaviour</w:t>
      </w:r>
      <w:proofErr w:type="spellEnd"/>
      <w:r>
        <w:rPr>
          <w:b w:val="0"/>
          <w:sz w:val="20"/>
        </w:rPr>
        <w:t xml:space="preserve"> is crucial. The objective of this study is to understand consumer dining </w:t>
      </w:r>
      <w:proofErr w:type="spellStart"/>
      <w:r>
        <w:rPr>
          <w:b w:val="0"/>
          <w:sz w:val="20"/>
        </w:rPr>
        <w:t>behaviour</w:t>
      </w:r>
      <w:proofErr w:type="spellEnd"/>
      <w:r>
        <w:rPr>
          <w:b w:val="0"/>
          <w:sz w:val="20"/>
        </w:rPr>
        <w:t xml:space="preserve">, preferences, and decision outcomes in Indian-Muslim restaurants in Malaysia using computational modelling and sentiment analysis. </w:t>
      </w:r>
    </w:p>
    <w:p w14:paraId="55C79F22" w14:textId="77777777" w:rsidR="00720DC6" w:rsidRDefault="00720DC6" w:rsidP="00720DC6">
      <w:pPr>
        <w:pStyle w:val="Els-Abstract-head"/>
        <w:spacing w:before="120" w:after="0" w:line="240" w:lineRule="auto"/>
        <w:ind w:firstLine="708"/>
        <w:jc w:val="both"/>
        <w:rPr>
          <w:b w:val="0"/>
          <w:sz w:val="20"/>
        </w:rPr>
      </w:pPr>
      <w:r>
        <w:rPr>
          <w:b w:val="0"/>
          <w:sz w:val="20"/>
        </w:rPr>
        <w:t xml:space="preserve">Survey results indicate that uneaten food is largely driven by mismatches between consumer expectations and actual dining experiences, particularly related to food taste (14.94%), excessive oiliness, spiciness or saltiness (14.07%), and overly large portion sizes (12.55%). Analysis of customer reviews further reveals that consumers frequently express the need for portion </w:t>
      </w:r>
      <w:proofErr w:type="spellStart"/>
      <w:r>
        <w:rPr>
          <w:b w:val="0"/>
          <w:sz w:val="20"/>
        </w:rPr>
        <w:t>customisation</w:t>
      </w:r>
      <w:proofErr w:type="spellEnd"/>
      <w:r>
        <w:rPr>
          <w:b w:val="0"/>
          <w:sz w:val="20"/>
        </w:rPr>
        <w:t xml:space="preserve">, reflecting a proactive consumer-driven suggestion to reduce food wastage in Indian-Muslim restaurants. </w:t>
      </w:r>
    </w:p>
    <w:p w14:paraId="62905585" w14:textId="0CAEEA6F" w:rsidR="00720DC6" w:rsidRPr="00720DC6" w:rsidRDefault="00720DC6" w:rsidP="00720DC6">
      <w:pPr>
        <w:pStyle w:val="Els-Abstract-head"/>
        <w:spacing w:before="120" w:after="0" w:line="240" w:lineRule="auto"/>
        <w:ind w:firstLine="708"/>
        <w:jc w:val="both"/>
        <w:rPr>
          <w:b w:val="0"/>
          <w:sz w:val="20"/>
        </w:rPr>
      </w:pPr>
      <w:r w:rsidRPr="00720DC6">
        <w:rPr>
          <w:b w:val="0"/>
          <w:sz w:val="20"/>
        </w:rPr>
        <w:t>To further enhance the analytical depth of this study, a Composite Consumer Inefficiency Index (CII) is introduced, constructed from sentiment-derived indicators of taste mismatch, portion dissatisfaction, and food quality perception extracted from Google reviews. The CII provides a structured quantitative measure of consumer-driven food waste risk by transforming unstructured textual feedback into an interpretable index.</w:t>
      </w:r>
    </w:p>
    <w:p w14:paraId="696183DE" w14:textId="562DB212" w:rsidR="00720DC6" w:rsidRPr="00720DC6" w:rsidRDefault="00720DC6" w:rsidP="00720DC6">
      <w:pPr>
        <w:pStyle w:val="Els-Abstract-head"/>
        <w:spacing w:before="120" w:after="0" w:line="240" w:lineRule="auto"/>
        <w:ind w:firstLine="708"/>
        <w:jc w:val="both"/>
        <w:rPr>
          <w:b w:val="0"/>
          <w:sz w:val="20"/>
        </w:rPr>
      </w:pPr>
      <w:r w:rsidRPr="00720DC6">
        <w:rPr>
          <w:b w:val="0"/>
          <w:sz w:val="20"/>
        </w:rPr>
        <w:t>Overall, the findings highlight a shared responsibility between restaurants and consumers in reducing food waste, aligned with Sustainable Development Goal 12 (Responsible Consumption and Production), and provide a data-driven foundation for future technological applications, such as predictive modelling to support portion planning and food production optimization.</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0AEAEA1E" w14:textId="6CE29CC2" w:rsidR="002E7F32" w:rsidRPr="002E7F32" w:rsidRDefault="002A0A1C" w:rsidP="002E7F32">
      <w:pPr>
        <w:pStyle w:val="Els-keywords"/>
        <w:spacing w:after="120" w:line="240" w:lineRule="auto"/>
        <w:rPr>
          <w:sz w:val="20"/>
        </w:rPr>
      </w:pPr>
      <w:r w:rsidRPr="00C67487">
        <w:rPr>
          <w:sz w:val="20"/>
        </w:rPr>
        <w:t xml:space="preserve">[1] </w:t>
      </w:r>
      <w:r w:rsidR="002E7F32" w:rsidRPr="002E7F32">
        <w:rPr>
          <w:sz w:val="20"/>
        </w:rPr>
        <w:t>R. Aulia and S. Martha, “Understanding household food waste behaviour: A systematic review based on TPB and SCT,” J. Sustain. Consum. Stud., vol. 13, pp. 55–70, 2025.</w:t>
      </w:r>
    </w:p>
    <w:p w14:paraId="152DD639" w14:textId="4CA4B935" w:rsidR="002E7F32" w:rsidRPr="002E7F32" w:rsidRDefault="002E7F32" w:rsidP="002E7F32">
      <w:pPr>
        <w:pStyle w:val="Els-keywords"/>
        <w:spacing w:after="120" w:line="240" w:lineRule="auto"/>
        <w:rPr>
          <w:sz w:val="20"/>
        </w:rPr>
      </w:pPr>
      <w:r w:rsidRPr="002E7F32">
        <w:rPr>
          <w:sz w:val="20"/>
        </w:rPr>
        <w:t>[2] M. Arifin and A. Suraya, “Reducing waste through AI-based menu recommendation systems in cafeterias,” J. Artif. Intell. Food Syst., vol. 4, pp. 17–29, 2022.</w:t>
      </w:r>
    </w:p>
    <w:p w14:paraId="3B4AE520" w14:textId="66621479" w:rsidR="002E7F32" w:rsidRPr="002E7F32" w:rsidRDefault="002E7F32" w:rsidP="002E7F32">
      <w:pPr>
        <w:pStyle w:val="Els-keywords"/>
        <w:spacing w:after="120" w:line="240" w:lineRule="auto"/>
        <w:rPr>
          <w:sz w:val="20"/>
        </w:rPr>
      </w:pPr>
      <w:r w:rsidRPr="002E7F32">
        <w:rPr>
          <w:sz w:val="20"/>
        </w:rPr>
        <w:t>[3] M. Goh and M. S. Norazian, “Consumer perceptions of food waste: A Malaysian context,” Int. J. Food Stud., vol. 12, pp. 135–150, 2023.</w:t>
      </w:r>
    </w:p>
    <w:p w14:paraId="42C7A632" w14:textId="5BB84736" w:rsidR="002E7F32" w:rsidRPr="002E7F32" w:rsidRDefault="002E7F32" w:rsidP="002E7F32">
      <w:pPr>
        <w:pStyle w:val="Els-keywords"/>
        <w:spacing w:after="120" w:line="240" w:lineRule="auto"/>
        <w:rPr>
          <w:sz w:val="20"/>
        </w:rPr>
      </w:pPr>
      <w:r w:rsidRPr="002E7F32">
        <w:rPr>
          <w:sz w:val="20"/>
        </w:rPr>
        <w:t>[4] N. Gull, R. Farooq, and S. A. Syed, “eNose: A smart sensor for low-cost food waste monitoring using machine learning,” Sensors Sustain. Technol., vol. 15, pp. 93–107, 2021.</w:t>
      </w:r>
    </w:p>
    <w:p w14:paraId="252C41E6" w14:textId="4790D9FA" w:rsidR="002E7F32" w:rsidRPr="002E7F32" w:rsidRDefault="002E7F32" w:rsidP="002E7F32">
      <w:pPr>
        <w:pStyle w:val="Els-keywords"/>
        <w:spacing w:after="120" w:line="240" w:lineRule="auto"/>
        <w:rPr>
          <w:sz w:val="20"/>
        </w:rPr>
      </w:pPr>
      <w:r w:rsidRPr="002E7F32">
        <w:rPr>
          <w:sz w:val="20"/>
        </w:rPr>
        <w:t>[5] N. Kasim, S. A. Halim, and N. A. Omar, “Operational inefficiencies in Malaysian food outlets: A hidden source of waste?” Int. J. Foodservice Oper., vol. 6, pp. 142–158, 2023.</w:t>
      </w:r>
    </w:p>
    <w:p w14:paraId="5979567E" w14:textId="1B073339" w:rsidR="002E7F32" w:rsidRPr="002E7F32" w:rsidRDefault="002E7F32" w:rsidP="002E7F32">
      <w:pPr>
        <w:pStyle w:val="Els-keywords"/>
        <w:spacing w:after="120" w:line="240" w:lineRule="auto"/>
        <w:rPr>
          <w:sz w:val="20"/>
        </w:rPr>
      </w:pPr>
      <w:r w:rsidRPr="002E7F32">
        <w:rPr>
          <w:sz w:val="20"/>
        </w:rPr>
        <w:lastRenderedPageBreak/>
        <w:t>[6] X. Ma, J. Chen, and R. Wong, “Leveraging NLP to analyze social media discourse on upcycled food: Challenges and opportunities,” J. Consum. Behav. Sustain., vol. 9, pp. 44–59, 2024.</w:t>
      </w:r>
    </w:p>
    <w:p w14:paraId="2D7727F2" w14:textId="3DFCB4C0" w:rsidR="002E7F32" w:rsidRPr="002E7F32" w:rsidRDefault="002E7F32" w:rsidP="002E7F32">
      <w:pPr>
        <w:pStyle w:val="Els-keywords"/>
        <w:spacing w:after="120" w:line="240" w:lineRule="auto"/>
        <w:rPr>
          <w:sz w:val="20"/>
        </w:rPr>
      </w:pPr>
      <w:r w:rsidRPr="002E7F32">
        <w:rPr>
          <w:sz w:val="20"/>
        </w:rPr>
        <w:t>[7] N. A. Mansor, M. F. Jalil, and S. Rahman, “Household food waste in Malaysia: Determinants and prevention strategies,” Asian J. Sustain., vol. 5, pp. 67–82, 2022</w:t>
      </w:r>
      <w:r>
        <w:rPr>
          <w:sz w:val="20"/>
        </w:rPr>
        <w:t>.</w:t>
      </w:r>
    </w:p>
    <w:p w14:paraId="077A3EE1" w14:textId="22AF1234" w:rsidR="002E7F32" w:rsidRPr="002E7F32" w:rsidRDefault="002E7F32" w:rsidP="002E7F32">
      <w:pPr>
        <w:pStyle w:val="Els-keywords"/>
        <w:spacing w:after="120" w:line="240" w:lineRule="auto"/>
        <w:rPr>
          <w:sz w:val="20"/>
        </w:rPr>
      </w:pPr>
      <w:r w:rsidRPr="002E7F32">
        <w:rPr>
          <w:sz w:val="20"/>
        </w:rPr>
        <w:t>[8] V. L. Migueis, S. Sousa, and A. Almeida, “Forecasting demand and reducing waste in fresh food retailing with ML and censored data,” J. Retail Anal. Logist., vol. 12, pp. 34–49, 2022.</w:t>
      </w:r>
    </w:p>
    <w:p w14:paraId="3E97A809" w14:textId="315A104F" w:rsidR="002E7F32" w:rsidRPr="002E7F32" w:rsidRDefault="002E7F32" w:rsidP="002E7F32">
      <w:pPr>
        <w:pStyle w:val="Els-keywords"/>
        <w:spacing w:after="120" w:line="240" w:lineRule="auto"/>
        <w:rPr>
          <w:sz w:val="20"/>
        </w:rPr>
      </w:pPr>
      <w:r w:rsidRPr="002E7F32">
        <w:rPr>
          <w:sz w:val="20"/>
        </w:rPr>
        <w:t>[9] N. Nazli, R. A. Karim, and F. Hassan, “Determinants of consumer food waste behaviour in Malaysian households,” J. Sustain. Food Pract., vol. 8, pp. 77–94, 2024.</w:t>
      </w:r>
    </w:p>
    <w:p w14:paraId="7BB61792" w14:textId="6730821C" w:rsidR="002E7F32" w:rsidRPr="002E7F32" w:rsidRDefault="002E7F32" w:rsidP="002E7F32">
      <w:pPr>
        <w:pStyle w:val="Els-keywords"/>
        <w:spacing w:after="120" w:line="240" w:lineRule="auto"/>
        <w:rPr>
          <w:sz w:val="20"/>
        </w:rPr>
      </w:pPr>
      <w:r w:rsidRPr="002E7F32">
        <w:rPr>
          <w:sz w:val="20"/>
        </w:rPr>
        <w:t>[10] M. H. Nik Masdek, C. L. Tan, and N. Faiz, “Urban household behaviour toward sustainable food waste management in Klang Valley, Malaysia,” J. Environ. Sustain. Policy, vol. 10, pp. 111–128, 2024.</w:t>
      </w:r>
    </w:p>
    <w:p w14:paraId="5B3549A3" w14:textId="4AFC5D17" w:rsidR="002E7F32" w:rsidRPr="002E7F32" w:rsidRDefault="002E7F32" w:rsidP="002E7F32">
      <w:pPr>
        <w:pStyle w:val="Els-keywords"/>
        <w:spacing w:after="120" w:line="240" w:lineRule="auto"/>
        <w:rPr>
          <w:sz w:val="20"/>
        </w:rPr>
      </w:pPr>
      <w:r w:rsidRPr="002E7F32">
        <w:rPr>
          <w:sz w:val="20"/>
        </w:rPr>
        <w:t>[11] M. F. Noor and N. A. Salleh, “Staff attitudes and behaviour toward food waste in small restaurants,” Malays. J. Hosp. Res., vol. 7, pp. 88–101, 2022.</w:t>
      </w:r>
    </w:p>
    <w:p w14:paraId="6A356E63" w14:textId="4E8C0AEE" w:rsidR="002E7F32" w:rsidRPr="002E7F32" w:rsidRDefault="002E7F32" w:rsidP="002E7F32">
      <w:pPr>
        <w:pStyle w:val="Els-keywords"/>
        <w:spacing w:after="120" w:line="240" w:lineRule="auto"/>
        <w:rPr>
          <w:sz w:val="20"/>
        </w:rPr>
      </w:pPr>
      <w:r w:rsidRPr="002E7F32">
        <w:rPr>
          <w:sz w:val="20"/>
        </w:rPr>
        <w:t>[12] C. M. Phooi, K. P. Lim, and S. Wahab, “Malaysian consumers’ behaviour toward food waste: A demographic analysis,” Malays. J. Consum. Behav., vol. 6, pp. 45–63, 2022.</w:t>
      </w:r>
    </w:p>
    <w:p w14:paraId="7A3DABE8" w14:textId="6D8C228D" w:rsidR="002E7F32" w:rsidRPr="002E7F32" w:rsidRDefault="002E7F32" w:rsidP="002E7F32">
      <w:pPr>
        <w:pStyle w:val="Els-keywords"/>
        <w:spacing w:after="120" w:line="240" w:lineRule="auto"/>
        <w:rPr>
          <w:sz w:val="20"/>
        </w:rPr>
      </w:pPr>
      <w:r w:rsidRPr="002E7F32">
        <w:rPr>
          <w:sz w:val="20"/>
        </w:rPr>
        <w:t>[13] A. Rodrigues, R. Neto, and L. Pires, “Using machine learning for demand forecasting in institutional catering services,” Int. J. Comput. Hosp., vol. 9, pp. 58–76, 2024.</w:t>
      </w:r>
    </w:p>
    <w:p w14:paraId="2983BA7D" w14:textId="3416701D" w:rsidR="002E7F32" w:rsidRPr="002E7F32" w:rsidRDefault="002E7F32" w:rsidP="002E7F32">
      <w:pPr>
        <w:pStyle w:val="Els-keywords"/>
        <w:spacing w:after="120" w:line="240" w:lineRule="auto"/>
        <w:rPr>
          <w:sz w:val="20"/>
        </w:rPr>
      </w:pPr>
      <w:r w:rsidRPr="002E7F32">
        <w:rPr>
          <w:sz w:val="20"/>
        </w:rPr>
        <w:t>[14] R. Sahoo, P. Bhatt, and D. Kumar, “Food waste in the hospitality sector of developing countries: A review of emerging strategies,” Int. J. Hosp. Sustain., vol. 9, pp. 71–88, 2024.</w:t>
      </w:r>
    </w:p>
    <w:p w14:paraId="406A6217" w14:textId="5BD7C9CC" w:rsidR="002E7F32" w:rsidRPr="002E7F32" w:rsidRDefault="002E7F32" w:rsidP="002E7F32">
      <w:pPr>
        <w:pStyle w:val="Els-keywords"/>
        <w:spacing w:after="120" w:line="240" w:lineRule="auto"/>
        <w:rPr>
          <w:sz w:val="20"/>
        </w:rPr>
      </w:pPr>
      <w:r w:rsidRPr="002E7F32">
        <w:rPr>
          <w:sz w:val="20"/>
        </w:rPr>
        <w:t>[15] M. R. Silva and C. de Almeida, “Food waste in restaurants: A systematic literature review of drivers and mitigation strategies,” Eur. J. Hosp. Food Waste Manag., vol. 10, pp. 15–39, 2024.</w:t>
      </w:r>
    </w:p>
    <w:p w14:paraId="191A2777" w14:textId="006578F8" w:rsidR="002E7F32" w:rsidRPr="002E7F32" w:rsidRDefault="002E7F32" w:rsidP="002E7F32">
      <w:pPr>
        <w:pStyle w:val="Els-keywords"/>
        <w:spacing w:after="120" w:line="240" w:lineRule="auto"/>
        <w:rPr>
          <w:sz w:val="20"/>
        </w:rPr>
      </w:pPr>
      <w:r w:rsidRPr="002E7F32">
        <w:rPr>
          <w:sz w:val="20"/>
        </w:rPr>
        <w:t>[16] H. Y. Teng, A. Muritala, and K. W. Khong, “Insights from online food delivery reviews: What drives customer complaints?” J. Hosp. Digit. Insights, vol. 8, pp. 199–214, 2021.</w:t>
      </w:r>
    </w:p>
    <w:p w14:paraId="1D15FDA8" w14:textId="4FDE7E1C" w:rsidR="002E7F32" w:rsidRPr="002E7F32" w:rsidRDefault="002E7F32" w:rsidP="002E7F32">
      <w:pPr>
        <w:pStyle w:val="Els-keywords"/>
        <w:spacing w:after="120" w:line="240" w:lineRule="auto"/>
        <w:rPr>
          <w:sz w:val="20"/>
        </w:rPr>
      </w:pPr>
      <w:r w:rsidRPr="002E7F32">
        <w:rPr>
          <w:sz w:val="20"/>
        </w:rPr>
        <w:t>[17] A. Turker, “Demand forecasting and waste management in campus dining: A machine learning approach,” J. Smart Food Syst., vol. 10, pp. 13–32, 2025.</w:t>
      </w:r>
    </w:p>
    <w:p w14:paraId="7BC67066" w14:textId="63BB536D" w:rsidR="003B0ABD" w:rsidRPr="002537DA" w:rsidRDefault="002E7F32" w:rsidP="002E7F32">
      <w:pPr>
        <w:pStyle w:val="Els-keywords"/>
        <w:spacing w:after="120" w:line="240" w:lineRule="auto"/>
        <w:rPr>
          <w:sz w:val="20"/>
        </w:rPr>
      </w:pPr>
      <w:r w:rsidRPr="002E7F32">
        <w:rPr>
          <w:sz w:val="20"/>
        </w:rPr>
        <w:t>[18] J. Zhang and E. Wong, “Application of predictive analytics in reducing buffet waste,” J. Hosp. Forecast., vol. 7, pp. 100–116, 2023.</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95FB3" w14:textId="77777777" w:rsidR="000265F3" w:rsidRDefault="000265F3" w:rsidP="00431340">
      <w:pPr>
        <w:spacing w:after="0" w:line="240" w:lineRule="auto"/>
      </w:pPr>
      <w:r>
        <w:separator/>
      </w:r>
    </w:p>
  </w:endnote>
  <w:endnote w:type="continuationSeparator" w:id="0">
    <w:p w14:paraId="6E938363" w14:textId="77777777" w:rsidR="000265F3" w:rsidRDefault="000265F3"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FAEB" w14:textId="77777777" w:rsidR="000265F3" w:rsidRDefault="000265F3" w:rsidP="00431340">
      <w:pPr>
        <w:spacing w:after="0" w:line="240" w:lineRule="auto"/>
      </w:pPr>
      <w:r>
        <w:separator/>
      </w:r>
    </w:p>
  </w:footnote>
  <w:footnote w:type="continuationSeparator" w:id="0">
    <w:p w14:paraId="7241C302" w14:textId="77777777" w:rsidR="000265F3" w:rsidRDefault="000265F3" w:rsidP="00431340">
      <w:pPr>
        <w:spacing w:after="0" w:line="240" w:lineRule="auto"/>
      </w:pPr>
      <w:r>
        <w:continuationSeparator/>
      </w:r>
    </w:p>
  </w:footnote>
  <w:footnote w:id="1">
    <w:p w14:paraId="1DA89215" w14:textId="6C16119F" w:rsidR="00673656" w:rsidRDefault="00673656" w:rsidP="00673656">
      <w:pPr>
        <w:pStyle w:val="Els-footnote"/>
        <w:ind w:firstLine="120"/>
        <w:rPr>
          <w:sz w:val="18"/>
          <w:szCs w:val="18"/>
          <w:lang w:val="nb-NO"/>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proofErr w:type="spellStart"/>
      <w:r w:rsidR="002E7F32">
        <w:rPr>
          <w:sz w:val="18"/>
          <w:szCs w:val="18"/>
        </w:rPr>
        <w:t>sarinder</w:t>
      </w:r>
      <w:proofErr w:type="spellEnd"/>
      <w:r w:rsidR="002E7F32">
        <w:rPr>
          <w:sz w:val="18"/>
          <w:szCs w:val="18"/>
          <w:lang w:val="nb-NO"/>
        </w:rPr>
        <w:t>@um.edu.my</w:t>
      </w:r>
    </w:p>
    <w:p w14:paraId="7BEECD59" w14:textId="77777777" w:rsidR="002E7F32" w:rsidRPr="00BF77A7" w:rsidRDefault="002E7F32" w:rsidP="00673656">
      <w:pPr>
        <w:pStyle w:val="Els-footnote"/>
        <w:ind w:firstLine="120"/>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65F3"/>
    <w:rsid w:val="001C3C56"/>
    <w:rsid w:val="001C51B3"/>
    <w:rsid w:val="00234209"/>
    <w:rsid w:val="002537DA"/>
    <w:rsid w:val="002A0A1C"/>
    <w:rsid w:val="002A2B3C"/>
    <w:rsid w:val="002E7F32"/>
    <w:rsid w:val="00372579"/>
    <w:rsid w:val="003B0ABD"/>
    <w:rsid w:val="00431340"/>
    <w:rsid w:val="004B7E87"/>
    <w:rsid w:val="004C7508"/>
    <w:rsid w:val="004D1125"/>
    <w:rsid w:val="00540F75"/>
    <w:rsid w:val="0059506C"/>
    <w:rsid w:val="005B77D8"/>
    <w:rsid w:val="00646E7D"/>
    <w:rsid w:val="00654033"/>
    <w:rsid w:val="00665C88"/>
    <w:rsid w:val="00673656"/>
    <w:rsid w:val="006D3652"/>
    <w:rsid w:val="0070599D"/>
    <w:rsid w:val="00720DC6"/>
    <w:rsid w:val="007679DD"/>
    <w:rsid w:val="00772B06"/>
    <w:rsid w:val="007752C7"/>
    <w:rsid w:val="0078067E"/>
    <w:rsid w:val="00781D43"/>
    <w:rsid w:val="00827794"/>
    <w:rsid w:val="008613BC"/>
    <w:rsid w:val="009C71BA"/>
    <w:rsid w:val="00BE265A"/>
    <w:rsid w:val="00BF77A7"/>
    <w:rsid w:val="00C17F75"/>
    <w:rsid w:val="00C4616B"/>
    <w:rsid w:val="00C67487"/>
    <w:rsid w:val="00CC179B"/>
    <w:rsid w:val="00D10E69"/>
    <w:rsid w:val="00D753D4"/>
    <w:rsid w:val="00DD4FF9"/>
    <w:rsid w:val="00F55548"/>
    <w:rsid w:val="00F719F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2E7F32"/>
    <w:rPr>
      <w:color w:val="0563C1" w:themeColor="hyperlink"/>
      <w:u w:val="single"/>
    </w:rPr>
  </w:style>
  <w:style w:type="character" w:styleId="UnresolvedMention">
    <w:name w:val="Unresolved Mention"/>
    <w:basedOn w:val="DefaultParagraphFont"/>
    <w:uiPriority w:val="99"/>
    <w:semiHidden/>
    <w:unhideWhenUsed/>
    <w:rsid w:val="002E7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835</Words>
  <Characters>4765</Characters>
  <Application>Microsoft Office Word</Application>
  <DocSecurity>0</DocSecurity>
  <Lines>39</Lines>
  <Paragraphs>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MANOREETA N.MANOGARAN</cp:lastModifiedBy>
  <cp:revision>4</cp:revision>
  <dcterms:created xsi:type="dcterms:W3CDTF">2026-02-04T06:37:00Z</dcterms:created>
  <dcterms:modified xsi:type="dcterms:W3CDTF">2026-05-04T13:52:00Z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