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2EFB444B" w14:textId="77777777" w:rsidR="00B02D3E" w:rsidRPr="00B02D3E" w:rsidRDefault="00B02D3E" w:rsidP="00B02D3E">
      <w:pPr>
        <w:pStyle w:val="Els-Author"/>
        <w:ind w:right="2"/>
        <w:rPr>
          <w:sz w:val="32"/>
          <w:szCs w:val="32"/>
          <w:lang w:val="en-SG"/>
        </w:rPr>
      </w:pPr>
      <w:r w:rsidRPr="00B02D3E">
        <w:rPr>
          <w:sz w:val="32"/>
          <w:szCs w:val="32"/>
          <w:lang w:val="en-SG"/>
        </w:rPr>
        <w:t>A QuEChERS-Based Extraction and LC–MS/MS Method for Screening Cannabinoids in Gummy Matrices</w:t>
      </w:r>
    </w:p>
    <w:p w14:paraId="1ABCF913" w14:textId="417F871D" w:rsidR="008D4EAD" w:rsidRPr="001104AA" w:rsidRDefault="00515E81" w:rsidP="008D4EAD">
      <w:pPr>
        <w:pStyle w:val="Els-Affiliation"/>
        <w:spacing w:after="400"/>
        <w:rPr>
          <w:iCs/>
          <w:sz w:val="24"/>
          <w:szCs w:val="24"/>
          <w:lang w:val="en-SG"/>
        </w:rPr>
      </w:pPr>
      <w:r w:rsidRPr="001104AA">
        <w:rPr>
          <w:iCs/>
          <w:sz w:val="24"/>
          <w:szCs w:val="24"/>
          <w:lang w:val="en-SG"/>
        </w:rPr>
        <w:t>X.Y. Tan</w:t>
      </w:r>
      <w:r w:rsidRPr="0044603A">
        <w:rPr>
          <w:iCs/>
          <w:sz w:val="24"/>
          <w:szCs w:val="24"/>
          <w:lang w:val="nb-NO"/>
        </w:rPr>
        <w:t>ᵃ</w:t>
      </w:r>
      <w:r w:rsidRPr="001104AA">
        <w:rPr>
          <w:iCs/>
          <w:sz w:val="24"/>
          <w:szCs w:val="24"/>
          <w:lang w:val="en-SG"/>
        </w:rPr>
        <w:t>, G.S. Teo</w:t>
      </w:r>
      <w:r w:rsidRPr="0044603A">
        <w:rPr>
          <w:iCs/>
          <w:sz w:val="24"/>
          <w:szCs w:val="24"/>
          <w:lang w:val="nb-NO"/>
        </w:rPr>
        <w:t>ᵃ</w:t>
      </w:r>
      <w:r w:rsidRPr="001104AA">
        <w:rPr>
          <w:iCs/>
          <w:sz w:val="24"/>
          <w:szCs w:val="24"/>
          <w:lang w:val="en-SG"/>
        </w:rPr>
        <w:t>,</w:t>
      </w:r>
      <w:r w:rsidR="00C0053D" w:rsidRPr="00C0053D">
        <w:rPr>
          <w:iCs/>
          <w:sz w:val="24"/>
          <w:szCs w:val="24"/>
          <w:lang w:val="en-SG"/>
        </w:rPr>
        <w:t xml:space="preserve"> </w:t>
      </w:r>
      <w:r w:rsidR="00C0053D" w:rsidRPr="001104AA">
        <w:rPr>
          <w:iCs/>
          <w:sz w:val="24"/>
          <w:szCs w:val="24"/>
          <w:lang w:val="en-SG"/>
        </w:rPr>
        <w:t>M.W. Tan</w:t>
      </w:r>
      <w:r w:rsidR="00C0053D" w:rsidRPr="0044603A">
        <w:rPr>
          <w:iCs/>
          <w:sz w:val="24"/>
          <w:szCs w:val="24"/>
          <w:lang w:val="nb-NO"/>
        </w:rPr>
        <w:t>ᵃ</w:t>
      </w:r>
    </w:p>
    <w:p w14:paraId="7178D925" w14:textId="75BD2EAC" w:rsidR="0044603A" w:rsidRPr="0044603A" w:rsidRDefault="0044603A" w:rsidP="0044603A">
      <w:pPr>
        <w:pStyle w:val="Els-Affiliation"/>
        <w:spacing w:after="400"/>
        <w:rPr>
          <w:sz w:val="24"/>
          <w:szCs w:val="24"/>
          <w:lang w:val="en-SG"/>
        </w:rPr>
      </w:pPr>
      <w:r w:rsidRPr="0044603A">
        <w:rPr>
          <w:sz w:val="24"/>
          <w:szCs w:val="24"/>
          <w:lang w:val="en-SG"/>
        </w:rPr>
        <w:t xml:space="preserve">ᵃ </w:t>
      </w:r>
      <w:r w:rsidRPr="001104AA">
        <w:rPr>
          <w:lang w:val="en-SG"/>
        </w:rPr>
        <w:t>National Centre for Food Science (NCFS), Singapore Food Agency (SFA), 7 International Business Park, Singapore 609919</w:t>
      </w:r>
    </w:p>
    <w:p w14:paraId="318440ED" w14:textId="77777777" w:rsidR="0044603A" w:rsidRPr="001104AA" w:rsidRDefault="0044603A" w:rsidP="0044603A">
      <w:pPr>
        <w:pStyle w:val="Els-Abstract-head"/>
        <w:pBdr>
          <w:top w:val="single" w:sz="4" w:space="0" w:color="auto"/>
        </w:pBdr>
        <w:rPr>
          <w:lang w:val="en-SG"/>
        </w:rPr>
      </w:pPr>
    </w:p>
    <w:p w14:paraId="7715227C" w14:textId="77777777" w:rsidR="00431340" w:rsidRPr="00BF77A7" w:rsidRDefault="00431340" w:rsidP="0044603A">
      <w:pPr>
        <w:pStyle w:val="Els-Abstract-head"/>
        <w:pBdr>
          <w:top w:val="single" w:sz="4" w:space="0" w:color="auto"/>
        </w:pBdr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7687299F" w14:textId="48B571C0" w:rsidR="007679DD" w:rsidRPr="0078067E" w:rsidRDefault="008C251B" w:rsidP="00AD34DA">
      <w:pPr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1104AA">
        <w:rPr>
          <w:rFonts w:ascii="Times New Roman" w:eastAsia="SimSun" w:hAnsi="Times New Roman" w:cs="Times New Roman"/>
          <w:sz w:val="20"/>
          <w:szCs w:val="20"/>
          <w:lang w:val="en-SG"/>
        </w:rPr>
        <w:t xml:space="preserve">This study describes a workflow for the screening of selected cannabinoids in gummy matrices using QuEChERS extraction coupled with LC–MS/MS. Target analytes included Cannabidiol (CBD), Cannabinol (CBN), </w:t>
      </w:r>
      <w:r w:rsidRPr="008C251B">
        <w:rPr>
          <w:rFonts w:ascii="Times New Roman" w:eastAsia="SimSun" w:hAnsi="Times New Roman" w:cs="Times New Roman"/>
          <w:sz w:val="20"/>
          <w:szCs w:val="20"/>
        </w:rPr>
        <w:t>Δ</w:t>
      </w:r>
      <w:r w:rsidRPr="001104AA">
        <w:rPr>
          <w:rFonts w:ascii="Times New Roman" w:eastAsia="SimSun" w:hAnsi="Times New Roman" w:cs="Times New Roman"/>
          <w:sz w:val="20"/>
          <w:szCs w:val="20"/>
          <w:lang w:val="en-SG"/>
        </w:rPr>
        <w:t>9-tetrahydrocannabinol (</w:t>
      </w:r>
      <w:r w:rsidRPr="008C251B">
        <w:rPr>
          <w:rFonts w:ascii="Times New Roman" w:eastAsia="SimSun" w:hAnsi="Times New Roman" w:cs="Times New Roman"/>
          <w:sz w:val="20"/>
          <w:szCs w:val="20"/>
        </w:rPr>
        <w:t>Δ</w:t>
      </w:r>
      <w:r w:rsidRPr="001104AA">
        <w:rPr>
          <w:rFonts w:ascii="Times New Roman" w:eastAsia="SimSun" w:hAnsi="Times New Roman" w:cs="Times New Roman"/>
          <w:sz w:val="20"/>
          <w:szCs w:val="20"/>
          <w:lang w:val="en-SG"/>
        </w:rPr>
        <w:t xml:space="preserve">9-THC), and tetrahydrocannabinolic acid (THCA). Method performance in the gummy matrix showed good linearity (R² ≥ 0.991), acceptable intra-day precision, and recoveries ranging from 91–125%, with limits of detection (LOD) and quantification (LOQ) </w:t>
      </w:r>
      <w:r w:rsidR="001104AA" w:rsidRPr="001104AA">
        <w:rPr>
          <w:rFonts w:ascii="Times New Roman" w:eastAsia="SimSun" w:hAnsi="Times New Roman" w:cs="Times New Roman"/>
          <w:sz w:val="20"/>
          <w:szCs w:val="20"/>
          <w:lang w:val="en-SG"/>
        </w:rPr>
        <w:t>2</w:t>
      </w:r>
      <w:r w:rsidR="001104AA">
        <w:rPr>
          <w:rFonts w:ascii="Times New Roman" w:eastAsia="SimSun" w:hAnsi="Times New Roman" w:cs="Times New Roman"/>
          <w:sz w:val="20"/>
          <w:szCs w:val="20"/>
          <w:lang w:val="en-SG"/>
        </w:rPr>
        <w:t xml:space="preserve"> ppb and 5 ppb</w:t>
      </w:r>
      <w:r w:rsidRPr="001104AA">
        <w:rPr>
          <w:rFonts w:ascii="Times New Roman" w:eastAsia="SimSun" w:hAnsi="Times New Roman" w:cs="Times New Roman"/>
          <w:sz w:val="20"/>
          <w:szCs w:val="20"/>
          <w:lang w:val="en-SG"/>
        </w:rPr>
        <w:t>, respectively. No target cannabinoids were detected in the samples analysed under the conditions of this study. This workflow provides a simple approach for screening cannabinoids in gummy matrices.</w:t>
      </w:r>
    </w:p>
    <w:p w14:paraId="7BC67066" w14:textId="767B051D" w:rsidR="003B0ABD" w:rsidRPr="002537DA" w:rsidRDefault="0078067E" w:rsidP="0078067E">
      <w:pPr>
        <w:pStyle w:val="Els-keywords"/>
        <w:spacing w:after="120" w:line="240" w:lineRule="auto"/>
        <w:rPr>
          <w:sz w:val="20"/>
        </w:rPr>
      </w:pPr>
      <w:r w:rsidRPr="0078067E">
        <w:rPr>
          <w:sz w:val="20"/>
        </w:rPr>
        <w:t xml:space="preserve"> </w:t>
      </w:r>
    </w:p>
    <w:sectPr w:rsidR="003B0ABD" w:rsidRPr="002537DA" w:rsidSect="004313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F13D" w14:textId="77777777" w:rsidR="00B26146" w:rsidRDefault="00B26146" w:rsidP="00431340">
      <w:pPr>
        <w:spacing w:after="0" w:line="240" w:lineRule="auto"/>
      </w:pPr>
      <w:r>
        <w:separator/>
      </w:r>
    </w:p>
  </w:endnote>
  <w:endnote w:type="continuationSeparator" w:id="0">
    <w:p w14:paraId="4CB07D37" w14:textId="77777777" w:rsidR="00B26146" w:rsidRDefault="00B26146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A34BB" w14:textId="77777777" w:rsidR="00B26146" w:rsidRDefault="00B26146" w:rsidP="00431340">
      <w:pPr>
        <w:spacing w:after="0" w:line="240" w:lineRule="auto"/>
      </w:pPr>
      <w:r>
        <w:separator/>
      </w:r>
    </w:p>
  </w:footnote>
  <w:footnote w:type="continuationSeparator" w:id="0">
    <w:p w14:paraId="6F5C56E0" w14:textId="77777777" w:rsidR="00B26146" w:rsidRDefault="00B26146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B1FE0"/>
    <w:rsid w:val="001104AA"/>
    <w:rsid w:val="00151A67"/>
    <w:rsid w:val="001C51B3"/>
    <w:rsid w:val="002121A3"/>
    <w:rsid w:val="00234209"/>
    <w:rsid w:val="002537DA"/>
    <w:rsid w:val="002A0A1C"/>
    <w:rsid w:val="002A2B3C"/>
    <w:rsid w:val="00372579"/>
    <w:rsid w:val="003B0ABD"/>
    <w:rsid w:val="00431340"/>
    <w:rsid w:val="0044603A"/>
    <w:rsid w:val="00456AFA"/>
    <w:rsid w:val="004B7E87"/>
    <w:rsid w:val="004C7508"/>
    <w:rsid w:val="004D1125"/>
    <w:rsid w:val="00515E81"/>
    <w:rsid w:val="0059506C"/>
    <w:rsid w:val="005B3EBE"/>
    <w:rsid w:val="005B77D8"/>
    <w:rsid w:val="00646E7D"/>
    <w:rsid w:val="00654033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8C251B"/>
    <w:rsid w:val="008D4EAD"/>
    <w:rsid w:val="009C153E"/>
    <w:rsid w:val="009C71BA"/>
    <w:rsid w:val="00A10826"/>
    <w:rsid w:val="00AD34DA"/>
    <w:rsid w:val="00B02D3E"/>
    <w:rsid w:val="00B26146"/>
    <w:rsid w:val="00BE265A"/>
    <w:rsid w:val="00BF77A7"/>
    <w:rsid w:val="00C0053D"/>
    <w:rsid w:val="00C17F75"/>
    <w:rsid w:val="00C362A5"/>
    <w:rsid w:val="00C4616B"/>
    <w:rsid w:val="00C67487"/>
    <w:rsid w:val="00CC179B"/>
    <w:rsid w:val="00D10E69"/>
    <w:rsid w:val="00D753D4"/>
    <w:rsid w:val="00DD4FF9"/>
    <w:rsid w:val="00DE745C"/>
    <w:rsid w:val="00ED5B87"/>
    <w:rsid w:val="00EF10AF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HE1486</cp:lastModifiedBy>
  <cp:revision>15</cp:revision>
  <dcterms:created xsi:type="dcterms:W3CDTF">2026-02-04T06:37:00Z</dcterms:created>
  <dcterms:modified xsi:type="dcterms:W3CDTF">2026-05-08T14:20:00Z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  <property fmtid="{D5CDD505-2E9C-101B-9397-08002B2CF9AE}" pid="3" name="MSIP_Label_5434c4c7-833e-41e4-b0ab-cdb227a2f6f7_Enabled">
    <vt:lpwstr>true</vt:lpwstr>
  </property>
  <property fmtid="{D5CDD505-2E9C-101B-9397-08002B2CF9AE}" pid="4" name="MSIP_Label_5434c4c7-833e-41e4-b0ab-cdb227a2f6f7_SetDate">
    <vt:lpwstr>2026-05-04T04:19:28Z</vt:lpwstr>
  </property>
  <property fmtid="{D5CDD505-2E9C-101B-9397-08002B2CF9AE}" pid="5" name="MSIP_Label_5434c4c7-833e-41e4-b0ab-cdb227a2f6f7_Method">
    <vt:lpwstr>Privileged</vt:lpwstr>
  </property>
  <property fmtid="{D5CDD505-2E9C-101B-9397-08002B2CF9AE}" pid="6" name="MSIP_Label_5434c4c7-833e-41e4-b0ab-cdb227a2f6f7_Name">
    <vt:lpwstr>Official (Open)</vt:lpwstr>
  </property>
  <property fmtid="{D5CDD505-2E9C-101B-9397-08002B2CF9AE}" pid="7" name="MSIP_Label_5434c4c7-833e-41e4-b0ab-cdb227a2f6f7_SiteId">
    <vt:lpwstr>0b11c524-9a1c-4e1b-84cb-6336aefc2243</vt:lpwstr>
  </property>
  <property fmtid="{D5CDD505-2E9C-101B-9397-08002B2CF9AE}" pid="8" name="MSIP_Label_5434c4c7-833e-41e4-b0ab-cdb227a2f6f7_ActionId">
    <vt:lpwstr>c151917e-dc8b-499a-ac51-ffa40fa935bc</vt:lpwstr>
  </property>
  <property fmtid="{D5CDD505-2E9C-101B-9397-08002B2CF9AE}" pid="9" name="MSIP_Label_5434c4c7-833e-41e4-b0ab-cdb227a2f6f7_ContentBits">
    <vt:lpwstr>0</vt:lpwstr>
  </property>
  <property fmtid="{D5CDD505-2E9C-101B-9397-08002B2CF9AE}" pid="10" name="MSIP_Label_5434c4c7-833e-41e4-b0ab-cdb227a2f6f7_Tag">
    <vt:lpwstr>10, 0, 1, 1</vt:lpwstr>
  </property>
</Properties>
</file>