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Pr="00B8198F" w:rsidRDefault="00D753D4" w:rsidP="00BF77A7">
      <w:pPr>
        <w:pStyle w:val="DocHead"/>
        <w:spacing w:before="0" w:after="0"/>
        <w:ind w:left="-119" w:right="-136" w:firstLine="119"/>
      </w:pPr>
      <w:r w:rsidRPr="00B8198F">
        <w:t>SIFF</w:t>
      </w:r>
      <w:r w:rsidR="00BF77A7" w:rsidRPr="00B8198F">
        <w:t xml:space="preserve"> 2026</w:t>
      </w:r>
    </w:p>
    <w:p w14:paraId="2641CBEB" w14:textId="0714D6BB" w:rsidR="00431340" w:rsidRPr="00B8198F" w:rsidRDefault="004D1125" w:rsidP="00BF77A7">
      <w:pPr>
        <w:pStyle w:val="DocHead"/>
        <w:spacing w:before="0" w:after="0"/>
        <w:ind w:left="-119" w:right="-136" w:firstLine="119"/>
      </w:pPr>
      <w:r w:rsidRPr="00B8198F">
        <w:t>Singapore International Food Forum 2026</w:t>
      </w:r>
      <w:r w:rsidR="00C17F75" w:rsidRPr="00B8198F">
        <w:br/>
      </w:r>
    </w:p>
    <w:p w14:paraId="4538BFCD" w14:textId="3ABBEACD" w:rsidR="00431340" w:rsidRPr="0099572B" w:rsidRDefault="00322A5B" w:rsidP="00C67487">
      <w:pPr>
        <w:pStyle w:val="Els-Title"/>
      </w:pPr>
      <w:proofErr w:type="spellStart"/>
      <w:r w:rsidRPr="0099572B">
        <w:t>Microalgae</w:t>
      </w:r>
      <w:proofErr w:type="spellEnd"/>
      <w:r w:rsidRPr="0099572B">
        <w:t xml:space="preserve">: a </w:t>
      </w:r>
      <w:proofErr w:type="spellStart"/>
      <w:r w:rsidRPr="0099572B">
        <w:t>resilient</w:t>
      </w:r>
      <w:proofErr w:type="spellEnd"/>
      <w:r w:rsidRPr="0099572B">
        <w:t xml:space="preserve"> &amp; dense source of </w:t>
      </w:r>
      <w:proofErr w:type="spellStart"/>
      <w:r w:rsidR="005A031B" w:rsidRPr="0099572B">
        <w:t>iron</w:t>
      </w:r>
      <w:proofErr w:type="spellEnd"/>
    </w:p>
    <w:p w14:paraId="5E774EED" w14:textId="65B434A6" w:rsidR="00673656" w:rsidRPr="0099572B" w:rsidRDefault="00322A5B" w:rsidP="00673656">
      <w:pPr>
        <w:pStyle w:val="Els-Author"/>
        <w:ind w:right="2"/>
        <w:rPr>
          <w:sz w:val="24"/>
          <w:szCs w:val="24"/>
        </w:rPr>
      </w:pPr>
      <w:r w:rsidRPr="0099572B">
        <w:rPr>
          <w:sz w:val="24"/>
          <w:szCs w:val="24"/>
        </w:rPr>
        <w:t>F</w:t>
      </w:r>
      <w:r w:rsidR="004C7508" w:rsidRPr="0099572B">
        <w:rPr>
          <w:sz w:val="24"/>
          <w:szCs w:val="24"/>
        </w:rPr>
        <w:t xml:space="preserve">. </w:t>
      </w:r>
      <w:r w:rsidRPr="0099572B">
        <w:rPr>
          <w:sz w:val="24"/>
          <w:szCs w:val="24"/>
        </w:rPr>
        <w:t>Abiusi</w:t>
      </w:r>
      <w:r w:rsidR="00C67487" w:rsidRPr="0099572B">
        <w:rPr>
          <w:sz w:val="24"/>
          <w:szCs w:val="24"/>
          <w:vertAlign w:val="superscript"/>
        </w:rPr>
        <w:t>a</w:t>
      </w:r>
      <w:r w:rsidR="00673656" w:rsidRPr="0099572B">
        <w:rPr>
          <w:sz w:val="24"/>
          <w:szCs w:val="24"/>
        </w:rPr>
        <w:t xml:space="preserve">, </w:t>
      </w:r>
      <w:r w:rsidR="0006723A" w:rsidRPr="0099572B">
        <w:rPr>
          <w:sz w:val="24"/>
          <w:szCs w:val="24"/>
        </w:rPr>
        <w:t>G</w:t>
      </w:r>
      <w:r w:rsidRPr="0099572B">
        <w:rPr>
          <w:sz w:val="24"/>
          <w:szCs w:val="24"/>
        </w:rPr>
        <w:t>. Proietti Tocca</w:t>
      </w:r>
      <w:r w:rsidRPr="0099572B">
        <w:rPr>
          <w:sz w:val="24"/>
          <w:szCs w:val="24"/>
          <w:vertAlign w:val="superscript"/>
        </w:rPr>
        <w:t>a</w:t>
      </w:r>
      <w:r w:rsidRPr="0099572B">
        <w:rPr>
          <w:sz w:val="24"/>
          <w:szCs w:val="24"/>
        </w:rPr>
        <w:t>, B. Perez</w:t>
      </w:r>
      <w:r w:rsidRPr="0099572B">
        <w:rPr>
          <w:sz w:val="24"/>
          <w:szCs w:val="24"/>
          <w:vertAlign w:val="superscript"/>
        </w:rPr>
        <w:t>a</w:t>
      </w:r>
      <w:r w:rsidRPr="0099572B">
        <w:rPr>
          <w:sz w:val="24"/>
          <w:szCs w:val="24"/>
        </w:rPr>
        <w:t>, F. Gao</w:t>
      </w:r>
      <w:r w:rsidRPr="0099572B">
        <w:rPr>
          <w:sz w:val="24"/>
          <w:szCs w:val="24"/>
          <w:vertAlign w:val="superscript"/>
        </w:rPr>
        <w:t>a,b</w:t>
      </w:r>
      <w:r w:rsidRPr="0099572B">
        <w:rPr>
          <w:sz w:val="24"/>
          <w:szCs w:val="24"/>
        </w:rPr>
        <w:t>,</w:t>
      </w:r>
      <w:r w:rsidR="00E6362B" w:rsidRPr="0099572B">
        <w:rPr>
          <w:sz w:val="24"/>
          <w:szCs w:val="24"/>
        </w:rPr>
        <w:t xml:space="preserve"> </w:t>
      </w:r>
      <w:r w:rsidRPr="0099572B">
        <w:rPr>
          <w:sz w:val="24"/>
          <w:szCs w:val="24"/>
        </w:rPr>
        <w:t>A. Mathys</w:t>
      </w:r>
      <w:r w:rsidRPr="0099572B">
        <w:rPr>
          <w:sz w:val="24"/>
          <w:szCs w:val="24"/>
          <w:vertAlign w:val="superscript"/>
        </w:rPr>
        <w:t>a</w:t>
      </w:r>
    </w:p>
    <w:p w14:paraId="660972DC" w14:textId="77777777" w:rsidR="00322A5B" w:rsidRPr="00B8198F" w:rsidRDefault="004C7508" w:rsidP="00322A5B">
      <w:pPr>
        <w:pStyle w:val="Els-Affiliation"/>
      </w:pPr>
      <w:r w:rsidRPr="00B8198F">
        <w:rPr>
          <w:vertAlign w:val="superscript"/>
        </w:rPr>
        <w:t>a</w:t>
      </w:r>
      <w:r w:rsidRPr="00B8198F">
        <w:t xml:space="preserve"> </w:t>
      </w:r>
      <w:r w:rsidR="00322A5B" w:rsidRPr="00B8198F">
        <w:t>Sustainable Food Processing Laboratory,  ETH Zurich, Schmelzbergstrasse 9, 8092 Zurich, Switzerland</w:t>
      </w:r>
    </w:p>
    <w:p w14:paraId="4E007DB5" w14:textId="176A5B02" w:rsidR="00322A5B" w:rsidRPr="00B8198F" w:rsidRDefault="00322A5B" w:rsidP="00322A5B">
      <w:pPr>
        <w:pStyle w:val="Els-Affiliation"/>
        <w:rPr>
          <w:iCs/>
        </w:rPr>
      </w:pPr>
      <w:r w:rsidRPr="00B8198F">
        <w:rPr>
          <w:vertAlign w:val="superscript"/>
        </w:rPr>
        <w:t>b</w:t>
      </w:r>
      <w:r w:rsidRPr="00B8198F">
        <w:t xml:space="preserve"> </w:t>
      </w:r>
      <w:r w:rsidR="00E6362B" w:rsidRPr="00B8198F">
        <w:t>Laboratory of Nutrition and Metabolic Epigenetics</w:t>
      </w:r>
      <w:r w:rsidRPr="00B8198F">
        <w:t xml:space="preserve">,  ETH Zurich, </w:t>
      </w:r>
      <w:r w:rsidR="00E6362B" w:rsidRPr="00B8198F">
        <w:t>Schorenstrasse 16, 8603 Schwerzenbach, Switzerland</w:t>
      </w:r>
    </w:p>
    <w:p w14:paraId="05A3C6FA" w14:textId="03E36645" w:rsidR="00431340" w:rsidRPr="00B8198F" w:rsidRDefault="00431340" w:rsidP="00322A5B">
      <w:pPr>
        <w:pStyle w:val="Els-Affiliation"/>
        <w:rPr>
          <w:iCs/>
        </w:rPr>
      </w:pPr>
    </w:p>
    <w:p w14:paraId="7715227C" w14:textId="77777777" w:rsidR="00431340" w:rsidRPr="00B8198F" w:rsidRDefault="00431340" w:rsidP="006A3577">
      <w:pPr>
        <w:pStyle w:val="Els-Abstract-head"/>
        <w:spacing w:afterLines="40" w:after="96" w:line="240" w:lineRule="auto"/>
        <w:rPr>
          <w:sz w:val="20"/>
        </w:rPr>
      </w:pPr>
      <w:r w:rsidRPr="00B8198F">
        <w:rPr>
          <w:sz w:val="20"/>
        </w:rPr>
        <w:t>Abstract</w:t>
      </w:r>
    </w:p>
    <w:p w14:paraId="3F5B2270" w14:textId="0C2F85E3" w:rsidR="007F0911" w:rsidRPr="00B8198F" w:rsidRDefault="00E6362B" w:rsidP="006A3577">
      <w:pPr>
        <w:pStyle w:val="Els-Abstract-head"/>
        <w:spacing w:afterLines="40" w:after="96" w:line="240" w:lineRule="auto"/>
        <w:jc w:val="both"/>
        <w:rPr>
          <w:b w:val="0"/>
          <w:sz w:val="20"/>
        </w:rPr>
      </w:pPr>
      <w:r w:rsidRPr="00B8198F">
        <w:rPr>
          <w:b w:val="0"/>
          <w:sz w:val="20"/>
        </w:rPr>
        <w:t xml:space="preserve">Climate change and the growing human population have increased pressure on </w:t>
      </w:r>
      <w:r w:rsidR="001D556D" w:rsidRPr="00B8198F">
        <w:rPr>
          <w:b w:val="0"/>
          <w:sz w:val="20"/>
        </w:rPr>
        <w:t xml:space="preserve">global </w:t>
      </w:r>
      <w:r w:rsidRPr="00B8198F">
        <w:rPr>
          <w:b w:val="0"/>
          <w:sz w:val="20"/>
        </w:rPr>
        <w:t>food production systems.</w:t>
      </w:r>
      <w:r w:rsidR="00CC3E0E" w:rsidRPr="00B8198F">
        <w:rPr>
          <w:b w:val="0"/>
          <w:sz w:val="20"/>
        </w:rPr>
        <w:t xml:space="preserve"> </w:t>
      </w:r>
      <w:r w:rsidR="007F0911" w:rsidRPr="00B8198F">
        <w:rPr>
          <w:b w:val="0"/>
          <w:sz w:val="20"/>
        </w:rPr>
        <w:t>R</w:t>
      </w:r>
      <w:r w:rsidR="007307E1" w:rsidRPr="00B8198F">
        <w:rPr>
          <w:b w:val="0"/>
          <w:sz w:val="20"/>
        </w:rPr>
        <w:t xml:space="preserve">esilient technologies are needed to ensure food security by producing more food with fewer resources and lower environmental impact. Microalgae are emerging as a resilient </w:t>
      </w:r>
      <w:r w:rsidR="007F0911" w:rsidRPr="00B8198F">
        <w:rPr>
          <w:b w:val="0"/>
          <w:sz w:val="20"/>
        </w:rPr>
        <w:t>solution</w:t>
      </w:r>
      <w:r w:rsidR="007307E1" w:rsidRPr="00B8198F">
        <w:rPr>
          <w:b w:val="0"/>
          <w:sz w:val="20"/>
        </w:rPr>
        <w:t xml:space="preserve"> to various niches within the global food system, ranging from food to feed to biofertilizers. They can utilize fertilizers with 100 % efficiency, be cultivated on non-arable land or in the sea, and most species do not require fresh water for growth.</w:t>
      </w:r>
      <w:r w:rsidR="007F0911" w:rsidRPr="00B8198F">
        <w:rPr>
          <w:b w:val="0"/>
          <w:sz w:val="20"/>
        </w:rPr>
        <w:t xml:space="preserve"> Microalgae are among the richest known sources of iron. They contain 350-2340 mg kg⁻¹</w:t>
      </w:r>
      <w:r w:rsidR="007307E1" w:rsidRPr="00B8198F">
        <w:rPr>
          <w:b w:val="0"/>
          <w:sz w:val="20"/>
        </w:rPr>
        <w:t xml:space="preserve"> </w:t>
      </w:r>
      <w:r w:rsidR="007F0911" w:rsidRPr="00B8198F">
        <w:rPr>
          <w:b w:val="0"/>
          <w:sz w:val="20"/>
        </w:rPr>
        <w:t>of iron, while conventional food contains 15-157 mg kg⁻¹ (e.g. legumes 62-157 Fe mg kg⁻¹, beef 13-29 Fe mg kg⁻¹).</w:t>
      </w:r>
      <w:r w:rsidR="007F0911" w:rsidRPr="00B8198F">
        <w:rPr>
          <w:b w:val="0"/>
          <w:sz w:val="20"/>
          <w:vertAlign w:val="superscript"/>
        </w:rPr>
        <w:t>1</w:t>
      </w:r>
      <w:r w:rsidR="007F0911" w:rsidRPr="00B8198F">
        <w:rPr>
          <w:b w:val="0"/>
          <w:sz w:val="20"/>
        </w:rPr>
        <w:t xml:space="preserve"> Iron deficiency is the most common nutrient deficiency globally, affecting 25% of the population.</w:t>
      </w:r>
      <w:r w:rsidR="007F0911" w:rsidRPr="00B8198F">
        <w:rPr>
          <w:b w:val="0"/>
          <w:sz w:val="20"/>
          <w:vertAlign w:val="superscript"/>
        </w:rPr>
        <w:t>2</w:t>
      </w:r>
      <w:r w:rsidR="007F0911" w:rsidRPr="00B8198F">
        <w:rPr>
          <w:b w:val="0"/>
          <w:sz w:val="20"/>
        </w:rPr>
        <w:t xml:space="preserve"> Therefore, microalgae offer a </w:t>
      </w:r>
      <w:r w:rsidR="00DA6CF8" w:rsidRPr="00B8198F">
        <w:rPr>
          <w:b w:val="0"/>
          <w:sz w:val="20"/>
        </w:rPr>
        <w:t>promising</w:t>
      </w:r>
      <w:r w:rsidR="009B7FC1" w:rsidRPr="00B8198F">
        <w:rPr>
          <w:b w:val="0"/>
          <w:sz w:val="20"/>
        </w:rPr>
        <w:t>,</w:t>
      </w:r>
      <w:r w:rsidR="00DA6CF8" w:rsidRPr="00B8198F">
        <w:rPr>
          <w:b w:val="0"/>
          <w:sz w:val="20"/>
        </w:rPr>
        <w:t xml:space="preserve"> </w:t>
      </w:r>
      <w:r w:rsidR="009B7FC1" w:rsidRPr="00B8198F">
        <w:rPr>
          <w:b w:val="0"/>
          <w:sz w:val="20"/>
        </w:rPr>
        <w:t xml:space="preserve">resilient </w:t>
      </w:r>
      <w:r w:rsidR="007F0911" w:rsidRPr="00B8198F">
        <w:rPr>
          <w:b w:val="0"/>
          <w:sz w:val="20"/>
        </w:rPr>
        <w:t xml:space="preserve">solution to </w:t>
      </w:r>
      <w:r w:rsidR="00E929F3" w:rsidRPr="00B8198F">
        <w:rPr>
          <w:b w:val="0"/>
          <w:sz w:val="20"/>
        </w:rPr>
        <w:t xml:space="preserve">one of </w:t>
      </w:r>
      <w:r w:rsidR="007F0911" w:rsidRPr="00B8198F">
        <w:rPr>
          <w:b w:val="0"/>
          <w:sz w:val="20"/>
        </w:rPr>
        <w:t>the biggest nutritional challenges of our time.</w:t>
      </w:r>
    </w:p>
    <w:p w14:paraId="0A584F0A" w14:textId="1527CCC5" w:rsidR="009E174B" w:rsidRPr="00B8198F" w:rsidRDefault="004C0D04" w:rsidP="006A3577">
      <w:pPr>
        <w:pStyle w:val="Els-Abstract-head"/>
        <w:spacing w:afterLines="40" w:after="96" w:line="240" w:lineRule="auto"/>
        <w:jc w:val="both"/>
        <w:rPr>
          <w:b w:val="0"/>
          <w:i/>
          <w:iCs/>
          <w:sz w:val="20"/>
        </w:rPr>
      </w:pPr>
      <w:r w:rsidRPr="00B8198F">
        <w:rPr>
          <w:b w:val="0"/>
          <w:sz w:val="20"/>
        </w:rPr>
        <w:t xml:space="preserve">This work explores several heterotrophic bioprocesses to </w:t>
      </w:r>
      <w:r w:rsidR="001D556D" w:rsidRPr="00B8198F">
        <w:rPr>
          <w:b w:val="0"/>
          <w:sz w:val="20"/>
        </w:rPr>
        <w:t xml:space="preserve">induce </w:t>
      </w:r>
      <w:r w:rsidR="006A3577" w:rsidRPr="00B8198F">
        <w:rPr>
          <w:b w:val="0"/>
          <w:sz w:val="20"/>
        </w:rPr>
        <w:t xml:space="preserve">iron accumulation </w:t>
      </w:r>
      <w:r w:rsidR="001D556D" w:rsidRPr="00B8198F">
        <w:rPr>
          <w:b w:val="0"/>
          <w:sz w:val="20"/>
        </w:rPr>
        <w:t xml:space="preserve">in </w:t>
      </w:r>
      <w:r w:rsidR="001D556D" w:rsidRPr="00B8198F">
        <w:rPr>
          <w:b w:val="0"/>
          <w:i/>
          <w:iCs/>
          <w:sz w:val="20"/>
        </w:rPr>
        <w:t>Auxenochlorella protothecoides</w:t>
      </w:r>
      <w:r w:rsidR="001D556D" w:rsidRPr="00B8198F">
        <w:rPr>
          <w:b w:val="0"/>
          <w:sz w:val="20"/>
        </w:rPr>
        <w:t xml:space="preserve"> and </w:t>
      </w:r>
      <w:r w:rsidR="001D556D" w:rsidRPr="00B8198F">
        <w:rPr>
          <w:b w:val="0"/>
          <w:i/>
          <w:iCs/>
          <w:sz w:val="20"/>
        </w:rPr>
        <w:t>Galdieria sulphuraria</w:t>
      </w:r>
      <w:r w:rsidR="001D556D" w:rsidRPr="00B8198F">
        <w:rPr>
          <w:b w:val="0"/>
          <w:sz w:val="20"/>
        </w:rPr>
        <w:t xml:space="preserve">. </w:t>
      </w:r>
      <w:r w:rsidR="001D556D" w:rsidRPr="00B8198F">
        <w:rPr>
          <w:b w:val="0"/>
          <w:i/>
          <w:iCs/>
          <w:sz w:val="20"/>
        </w:rPr>
        <w:t>A. protothecoides</w:t>
      </w:r>
      <w:r w:rsidR="001D556D" w:rsidRPr="00B8198F">
        <w:rPr>
          <w:b w:val="0"/>
          <w:sz w:val="20"/>
        </w:rPr>
        <w:t xml:space="preserve"> is a GRAS-certified microalgal species that can be cultivated heterotrophically using a broad range of carbon and nitrogen sources, including food side-stream hydrolysates, to produce yellow, nutrient-rich biomass suitable for food applications. </w:t>
      </w:r>
      <w:r w:rsidR="001D556D" w:rsidRPr="00B8198F">
        <w:rPr>
          <w:b w:val="0"/>
          <w:i/>
          <w:iCs/>
          <w:sz w:val="20"/>
        </w:rPr>
        <w:t>G. sulphuraria</w:t>
      </w:r>
      <w:r w:rsidR="001D556D" w:rsidRPr="00B8198F">
        <w:rPr>
          <w:b w:val="0"/>
          <w:sz w:val="20"/>
        </w:rPr>
        <w:t xml:space="preserve"> is an emerging poly-extremophilic </w:t>
      </w:r>
      <w:r w:rsidR="00295A19" w:rsidRPr="00B8198F">
        <w:rPr>
          <w:b w:val="0"/>
          <w:sz w:val="20"/>
        </w:rPr>
        <w:t xml:space="preserve">microalgae which can grow at low pH (0-3), high temperature (up to 56°C), high salinity (up to 3 M) and has been reported </w:t>
      </w:r>
      <w:r w:rsidR="00D83BE4" w:rsidRPr="00B8198F">
        <w:rPr>
          <w:b w:val="0"/>
          <w:sz w:val="20"/>
        </w:rPr>
        <w:t>to grow using</w:t>
      </w:r>
      <w:r w:rsidR="00295A19" w:rsidRPr="00B8198F">
        <w:rPr>
          <w:b w:val="0"/>
          <w:sz w:val="20"/>
        </w:rPr>
        <w:t xml:space="preserve"> over 50 different carbon sources. The </w:t>
      </w:r>
      <w:r w:rsidR="009E174B" w:rsidRPr="00B8198F">
        <w:rPr>
          <w:b w:val="0"/>
          <w:sz w:val="20"/>
        </w:rPr>
        <w:t>biomass consumption of</w:t>
      </w:r>
      <w:r w:rsidR="00295A19" w:rsidRPr="00B8198F">
        <w:rPr>
          <w:b w:val="0"/>
          <w:sz w:val="20"/>
        </w:rPr>
        <w:t xml:space="preserve"> </w:t>
      </w:r>
      <w:r w:rsidR="009E174B" w:rsidRPr="00B8198F">
        <w:rPr>
          <w:b w:val="0"/>
          <w:sz w:val="20"/>
        </w:rPr>
        <w:t xml:space="preserve">this species is </w:t>
      </w:r>
      <w:r w:rsidR="001D556D" w:rsidRPr="00B8198F">
        <w:rPr>
          <w:b w:val="0"/>
          <w:sz w:val="20"/>
        </w:rPr>
        <w:t>currently under GRAS and Novel Food evaluation</w:t>
      </w:r>
      <w:r w:rsidR="009E174B" w:rsidRPr="00B8198F">
        <w:rPr>
          <w:b w:val="0"/>
          <w:sz w:val="20"/>
        </w:rPr>
        <w:t>, while its phycocyanin</w:t>
      </w:r>
      <w:r w:rsidR="0006723A" w:rsidRPr="00B8198F">
        <w:rPr>
          <w:b w:val="0"/>
          <w:sz w:val="20"/>
        </w:rPr>
        <w:t>-</w:t>
      </w:r>
      <w:r w:rsidR="009E174B" w:rsidRPr="00B8198F">
        <w:rPr>
          <w:b w:val="0"/>
          <w:sz w:val="20"/>
        </w:rPr>
        <w:t>ric</w:t>
      </w:r>
      <w:r w:rsidR="00D83BE4" w:rsidRPr="00B8198F">
        <w:rPr>
          <w:b w:val="0"/>
          <w:sz w:val="20"/>
        </w:rPr>
        <w:t>h</w:t>
      </w:r>
      <w:r w:rsidR="009E174B" w:rsidRPr="00B8198F">
        <w:rPr>
          <w:b w:val="0"/>
          <w:sz w:val="20"/>
        </w:rPr>
        <w:t xml:space="preserve"> extract </w:t>
      </w:r>
      <w:r w:rsidR="0006723A" w:rsidRPr="00B8198F">
        <w:rPr>
          <w:b w:val="0"/>
          <w:sz w:val="20"/>
        </w:rPr>
        <w:t>recently received the GRAS status and a positive opinion letter from EFSA.</w:t>
      </w:r>
    </w:p>
    <w:p w14:paraId="6BEF20EB" w14:textId="4D27C909" w:rsidR="00F83854" w:rsidRPr="00B8198F" w:rsidRDefault="004C0D04" w:rsidP="006A3577">
      <w:pPr>
        <w:pStyle w:val="Els-Abstract-head"/>
        <w:spacing w:afterLines="40" w:after="96" w:line="240" w:lineRule="auto"/>
        <w:jc w:val="both"/>
        <w:rPr>
          <w:b w:val="0"/>
          <w:sz w:val="20"/>
        </w:rPr>
      </w:pPr>
      <w:r w:rsidRPr="00B8198F">
        <w:rPr>
          <w:b w:val="0"/>
          <w:sz w:val="20"/>
        </w:rPr>
        <w:t xml:space="preserve">In </w:t>
      </w:r>
      <w:r w:rsidRPr="00B8198F">
        <w:rPr>
          <w:b w:val="0"/>
          <w:i/>
          <w:iCs/>
          <w:sz w:val="20"/>
        </w:rPr>
        <w:t>A.</w:t>
      </w:r>
      <w:r w:rsidRPr="00B8198F">
        <w:rPr>
          <w:b w:val="0"/>
          <w:sz w:val="20"/>
        </w:rPr>
        <w:t xml:space="preserve"> </w:t>
      </w:r>
      <w:r w:rsidRPr="00B8198F">
        <w:rPr>
          <w:b w:val="0"/>
          <w:i/>
          <w:iCs/>
          <w:sz w:val="20"/>
        </w:rPr>
        <w:t>protothecoides,</w:t>
      </w:r>
      <w:r w:rsidRPr="00B8198F">
        <w:rPr>
          <w:b w:val="0"/>
          <w:sz w:val="20"/>
        </w:rPr>
        <w:t xml:space="preserve"> direct iron supplementation in the cultivation medium was largely ineffective because ferric ions are poorly soluble at near-neutral pH and readily form complexes with organic matter, limiting cellular uptake. To overcome this limitation, four cultivation strategies were compared, revealing that transfer to a nitrogen- and organic-</w:t>
      </w:r>
      <w:r w:rsidR="00BB765B" w:rsidRPr="00B8198F">
        <w:rPr>
          <w:b w:val="0"/>
          <w:sz w:val="20"/>
        </w:rPr>
        <w:t xml:space="preserve"> </w:t>
      </w:r>
      <w:r w:rsidRPr="00B8198F">
        <w:rPr>
          <w:b w:val="0"/>
          <w:sz w:val="20"/>
        </w:rPr>
        <w:t xml:space="preserve">free medium and supplementation with iron via ferric ammonium citrate at 200 </w:t>
      </w:r>
      <w:proofErr w:type="spellStart"/>
      <w:r w:rsidRPr="00B8198F">
        <w:rPr>
          <w:b w:val="0"/>
          <w:sz w:val="20"/>
        </w:rPr>
        <w:t>μg</w:t>
      </w:r>
      <w:proofErr w:type="spellEnd"/>
      <w:r w:rsidRPr="00B8198F">
        <w:rPr>
          <w:b w:val="0"/>
          <w:sz w:val="20"/>
        </w:rPr>
        <w:t xml:space="preserve"> mL</w:t>
      </w:r>
      <w:r w:rsidRPr="00B8198F">
        <w:rPr>
          <w:b w:val="0"/>
          <w:sz w:val="20"/>
          <w:vertAlign w:val="superscript"/>
        </w:rPr>
        <w:t>−1</w:t>
      </w:r>
      <w:r w:rsidRPr="00B8198F">
        <w:rPr>
          <w:b w:val="0"/>
          <w:sz w:val="20"/>
        </w:rPr>
        <w:t xml:space="preserve"> resulted in efficient iron accumulation, yielding the highest intracellular iron content (3,170 ± 254 mg kg</w:t>
      </w:r>
      <w:r w:rsidRPr="00B8198F">
        <w:rPr>
          <w:b w:val="0"/>
          <w:sz w:val="20"/>
          <w:vertAlign w:val="superscript"/>
        </w:rPr>
        <w:t>−1</w:t>
      </w:r>
      <w:r w:rsidRPr="00B8198F">
        <w:rPr>
          <w:b w:val="0"/>
          <w:sz w:val="20"/>
        </w:rPr>
        <w:t>)</w:t>
      </w:r>
      <w:r w:rsidR="007307E1" w:rsidRPr="00B8198F">
        <w:rPr>
          <w:b w:val="0"/>
          <w:sz w:val="20"/>
        </w:rPr>
        <w:t>.</w:t>
      </w:r>
      <w:r w:rsidR="007307E1" w:rsidRPr="00B8198F">
        <w:rPr>
          <w:b w:val="0"/>
          <w:sz w:val="20"/>
        </w:rPr>
        <w:fldChar w:fldCharType="begin" w:fldLock="1"/>
      </w:r>
      <w:r w:rsidR="006A3577" w:rsidRPr="00B8198F">
        <w:rPr>
          <w:b w:val="0"/>
          <w:sz w:val="20"/>
        </w:rPr>
        <w:instrText>ADDIN CSL_CITATION {"citationItems":[{"id":"ITEM-1","itemData":{"DOI":"10.1016/j.biortech.2026.134139","ISSN":"0960-8524","author":[{"dropping-particle":"","family":"Perez","given":"Byron","non-dropping-particle":"","parse-names":false,"suffix":""},{"dropping-particle":"","family":"Yang","given":"Yanmeng","non-dropping-particle":"","parse-names":false,"suffix":""},{"dropping-particle":"","family":"Roxby","given":"Daniel","non-dropping-particle":"","parse-names":false,"suffix":""},{"dropping-particle":"","family":"Steffen","given":"Samuel","non-dropping-particle":"","parse-names":false,"suffix":""},{"dropping-particle":"","family":"Gao","given":"Fengzheng","non-dropping-particle":"","parse-names":false,"suffix":""},{"dropping-particle":"","family":"Abiusi","given":"Fabian","non-dropping-particle":"","parse-names":false,"suffix":""},{"dropping-particle":"Von","family":"Meyenn","given":"Ferdinand","non-dropping-particle":"","parse-names":false,"suffix":""},{"dropping-particle":"","family":"Han","given":"Jongyoon","non-dropping-particle":"","parse-names":false,"suffix":""},{"dropping-particle":"","family":"Haberkorn","given":"Iris","non-dropping-particle":"","parse-names":false,"suffix":""},{"dropping-particle":"","family":"Mathys","given":"Alexander","non-dropping-particle":"","parse-names":false,"suffix":""}],"container-title":"Bioresource Technology","id":"ITEM-1","issue":"November 2025","issued":{"date-parts":[["2026"]]},"page":"134139","publisher":"Elsevier Ltd","title":"Bioresource Technology More efficient iron enrichment in heterotrophic Auxenochlorella protothecoides by nitrogen source manipulation","type":"article-journal","volume":"446"},"uris":["http://www.mendeley.com/documents/?uuid=d8bb16cc-ee40-4989-846d-ad071aaae64b"]}],"mendeley":{"formattedCitation":"&lt;sup&gt;3&lt;/sup&gt;","plainTextFormattedCitation":"3","previouslyFormattedCitation":"&lt;sup&gt;3&lt;/sup&gt;"},"properties":{"noteIndex":0},"schema":"https://github.com/citation-style-language/schema/raw/master/csl-citation.json"}</w:instrText>
      </w:r>
      <w:r w:rsidR="007307E1" w:rsidRPr="00B8198F">
        <w:rPr>
          <w:b w:val="0"/>
          <w:sz w:val="20"/>
        </w:rPr>
        <w:fldChar w:fldCharType="separate"/>
      </w:r>
      <w:r w:rsidR="007307E1" w:rsidRPr="00B8198F">
        <w:rPr>
          <w:b w:val="0"/>
          <w:noProof/>
          <w:sz w:val="20"/>
          <w:vertAlign w:val="superscript"/>
        </w:rPr>
        <w:t>3</w:t>
      </w:r>
      <w:r w:rsidR="007307E1" w:rsidRPr="00B8198F">
        <w:rPr>
          <w:b w:val="0"/>
          <w:sz w:val="20"/>
        </w:rPr>
        <w:fldChar w:fldCharType="end"/>
      </w:r>
      <w:r w:rsidRPr="00B8198F">
        <w:rPr>
          <w:b w:val="0"/>
          <w:sz w:val="20"/>
        </w:rPr>
        <w:t xml:space="preserve"> </w:t>
      </w:r>
    </w:p>
    <w:p w14:paraId="2FFCF490" w14:textId="02009F28" w:rsidR="00F83854" w:rsidRPr="00B8198F" w:rsidRDefault="004C0D04" w:rsidP="006A3577">
      <w:pPr>
        <w:spacing w:afterLines="40" w:after="96" w:line="240" w:lineRule="auto"/>
        <w:jc w:val="both"/>
        <w:rPr>
          <w:rFonts w:ascii="Times New Roman" w:hAnsi="Times New Roman" w:cs="Times New Roman"/>
          <w:bCs/>
          <w:sz w:val="20"/>
          <w:lang w:val="en-US"/>
        </w:rPr>
      </w:pPr>
      <w:r w:rsidRPr="00B8198F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G. sulphuraria</w:t>
      </w:r>
      <w:r w:rsidRPr="00B8198F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instead</w:t>
      </w:r>
      <w:r w:rsidR="00F83854" w:rsidRPr="00B8198F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can be cultivated in a defined</w:t>
      </w:r>
      <w:r w:rsidR="00BB765B" w:rsidRPr="00B8198F">
        <w:rPr>
          <w:rFonts w:ascii="Times New Roman" w:eastAsia="SimSun" w:hAnsi="Times New Roman" w:cs="Times New Roman"/>
          <w:sz w:val="20"/>
          <w:szCs w:val="20"/>
          <w:lang w:val="en-US"/>
        </w:rPr>
        <w:t>, mineral</w:t>
      </w:r>
      <w:r w:rsidR="00F83854" w:rsidRPr="00B8198F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medium at low pH (1-2),</w:t>
      </w:r>
      <w:r w:rsidRPr="00B8198F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</w:t>
      </w:r>
      <w:r w:rsidR="00F83854" w:rsidRPr="00B8198F">
        <w:rPr>
          <w:rFonts w:ascii="Times New Roman" w:eastAsia="SimSun" w:hAnsi="Times New Roman" w:cs="Times New Roman"/>
          <w:sz w:val="20"/>
          <w:szCs w:val="20"/>
          <w:lang w:val="en-US"/>
        </w:rPr>
        <w:t>using FeSO</w:t>
      </w:r>
      <w:r w:rsidR="00F83854" w:rsidRPr="00B8198F">
        <w:rPr>
          <w:rFonts w:ascii="Times New Roman" w:eastAsia="SimSun" w:hAnsi="Times New Roman" w:cs="Times New Roman"/>
          <w:sz w:val="20"/>
          <w:szCs w:val="20"/>
          <w:vertAlign w:val="subscript"/>
          <w:lang w:val="en-US"/>
        </w:rPr>
        <w:t>4</w:t>
      </w:r>
      <w:r w:rsidR="00F83854" w:rsidRPr="00B8198F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without Fe precipitation or chelation by organic matter. Moreover, </w:t>
      </w:r>
      <w:r w:rsidR="00F83854" w:rsidRPr="00B8198F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G. sulphuraria</w:t>
      </w:r>
      <w:r w:rsidR="00F83854" w:rsidRPr="00B8198F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has been shown to be extremely tolerant </w:t>
      </w:r>
      <w:r w:rsidR="009B7FC1" w:rsidRPr="00B8198F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to acute exposure to high iron </w:t>
      </w:r>
      <w:r w:rsidR="00F83854" w:rsidRPr="00B8198F">
        <w:rPr>
          <w:rFonts w:ascii="Times New Roman" w:eastAsia="SimSun" w:hAnsi="Times New Roman" w:cs="Times New Roman"/>
          <w:sz w:val="20"/>
          <w:szCs w:val="20"/>
          <w:lang w:val="en-US"/>
        </w:rPr>
        <w:t>(up to 3</w:t>
      </w:r>
      <w:r w:rsidR="00B8198F">
        <w:rPr>
          <w:rFonts w:ascii="Times New Roman" w:eastAsia="SimSun" w:hAnsi="Times New Roman" w:cs="Times New Roman"/>
          <w:sz w:val="20"/>
          <w:szCs w:val="20"/>
          <w:lang w:val="en-US"/>
        </w:rPr>
        <w:t>,</w:t>
      </w:r>
      <w:r w:rsidR="00F83854" w:rsidRPr="00B8198F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000 </w:t>
      </w:r>
      <w:r w:rsidR="00F83854" w:rsidRPr="00B8198F">
        <w:rPr>
          <w:rFonts w:ascii="Times New Roman" w:hAnsi="Times New Roman" w:cs="Times New Roman"/>
          <w:bCs/>
          <w:sz w:val="20"/>
          <w:lang w:val="en-US"/>
        </w:rPr>
        <w:t>mg kg</w:t>
      </w:r>
      <w:r w:rsidR="00F83854" w:rsidRPr="00B8198F">
        <w:rPr>
          <w:rFonts w:ascii="Times New Roman" w:hAnsi="Times New Roman" w:cs="Times New Roman"/>
          <w:bCs/>
          <w:sz w:val="20"/>
          <w:vertAlign w:val="superscript"/>
          <w:lang w:val="en-US"/>
        </w:rPr>
        <w:t>−1</w:t>
      </w:r>
      <w:r w:rsidR="00F83854" w:rsidRPr="00B8198F">
        <w:rPr>
          <w:rFonts w:ascii="Times New Roman" w:eastAsia="SimSun" w:hAnsi="Times New Roman" w:cs="Times New Roman"/>
          <w:sz w:val="20"/>
          <w:szCs w:val="20"/>
          <w:lang w:val="en-US"/>
        </w:rPr>
        <w:t>) with minimal growth inhibition (-12.6%)</w:t>
      </w:r>
      <w:r w:rsidR="006A3577" w:rsidRPr="00B8198F">
        <w:rPr>
          <w:rFonts w:ascii="Times New Roman" w:eastAsia="SimSun" w:hAnsi="Times New Roman" w:cs="Times New Roman"/>
          <w:sz w:val="20"/>
          <w:szCs w:val="20"/>
          <w:lang w:val="en-US"/>
        </w:rPr>
        <w:t>.</w:t>
      </w:r>
      <w:r w:rsidR="0006723A" w:rsidRPr="00B8198F">
        <w:rPr>
          <w:rFonts w:ascii="Times New Roman" w:eastAsia="SimSun" w:hAnsi="Times New Roman" w:cs="Times New Roman"/>
          <w:sz w:val="20"/>
          <w:szCs w:val="20"/>
          <w:vertAlign w:val="superscript"/>
          <w:lang w:val="en-US"/>
        </w:rPr>
        <w:t>1</w:t>
      </w:r>
      <w:r w:rsidR="00F83854" w:rsidRPr="00B8198F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</w:t>
      </w:r>
      <w:r w:rsidR="006A3A82" w:rsidRPr="00B8198F">
        <w:rPr>
          <w:rFonts w:ascii="Times New Roman" w:eastAsia="SimSun" w:hAnsi="Times New Roman" w:cs="Times New Roman"/>
          <w:sz w:val="20"/>
          <w:szCs w:val="20"/>
          <w:lang w:val="en-US"/>
        </w:rPr>
        <w:t>When exposed to acute 2</w:t>
      </w:r>
      <w:r w:rsidR="00B8198F">
        <w:rPr>
          <w:rFonts w:ascii="Times New Roman" w:eastAsia="SimSun" w:hAnsi="Times New Roman" w:cs="Times New Roman"/>
          <w:sz w:val="20"/>
          <w:szCs w:val="20"/>
          <w:lang w:val="en-US"/>
        </w:rPr>
        <w:t>,</w:t>
      </w:r>
      <w:r w:rsidR="006A3A82" w:rsidRPr="00B8198F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000 Fe </w:t>
      </w:r>
      <w:r w:rsidR="006A3A82" w:rsidRPr="00B8198F">
        <w:rPr>
          <w:rFonts w:ascii="Times New Roman" w:hAnsi="Times New Roman" w:cs="Times New Roman"/>
          <w:bCs/>
          <w:sz w:val="20"/>
          <w:lang w:val="en-US"/>
        </w:rPr>
        <w:t>mg kg</w:t>
      </w:r>
      <w:r w:rsidR="006A3A82" w:rsidRPr="00B8198F">
        <w:rPr>
          <w:rFonts w:ascii="Times New Roman" w:hAnsi="Times New Roman" w:cs="Times New Roman"/>
          <w:bCs/>
          <w:sz w:val="20"/>
          <w:vertAlign w:val="superscript"/>
          <w:lang w:val="en-US"/>
        </w:rPr>
        <w:t>−1</w:t>
      </w:r>
      <w:r w:rsidR="006A3A82" w:rsidRPr="00B8198F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</w:t>
      </w:r>
      <w:r w:rsidR="006A3A82" w:rsidRPr="00B8198F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G. sulphuraria</w:t>
      </w:r>
      <w:r w:rsidR="006A3A82" w:rsidRPr="00B8198F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accumulate</w:t>
      </w:r>
      <w:r w:rsidR="0024246D" w:rsidRPr="00B8198F">
        <w:rPr>
          <w:rFonts w:ascii="Times New Roman" w:eastAsia="SimSun" w:hAnsi="Times New Roman" w:cs="Times New Roman"/>
          <w:sz w:val="20"/>
          <w:szCs w:val="20"/>
          <w:lang w:val="en-US"/>
        </w:rPr>
        <w:t>s</w:t>
      </w:r>
      <w:r w:rsidR="006A3A82" w:rsidRPr="00B8198F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up to </w:t>
      </w:r>
      <w:r w:rsidR="006A3A82" w:rsidRPr="00B8198F">
        <w:rPr>
          <w:rFonts w:ascii="Times New Roman" w:hAnsi="Times New Roman" w:cs="Times New Roman"/>
          <w:bCs/>
          <w:sz w:val="20"/>
          <w:lang w:val="en-US"/>
        </w:rPr>
        <w:t>1,472 ± 160 Fe mg kg</w:t>
      </w:r>
      <w:r w:rsidR="006A3A82" w:rsidRPr="00B8198F">
        <w:rPr>
          <w:rFonts w:ascii="Times New Roman" w:hAnsi="Times New Roman" w:cs="Times New Roman"/>
          <w:bCs/>
          <w:sz w:val="20"/>
          <w:vertAlign w:val="superscript"/>
          <w:lang w:val="en-US"/>
        </w:rPr>
        <w:t>−1</w:t>
      </w:r>
      <w:r w:rsidR="006A3A82" w:rsidRPr="00B8198F">
        <w:rPr>
          <w:rFonts w:ascii="Times New Roman" w:hAnsi="Times New Roman" w:cs="Times New Roman"/>
          <w:bCs/>
          <w:sz w:val="20"/>
          <w:lang w:val="en-US"/>
        </w:rPr>
        <w:t>, about 7.6 times higher than the control (</w:t>
      </w:r>
      <w:r w:rsidR="006A3A82" w:rsidRPr="00B8198F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193 </w:t>
      </w:r>
      <w:r w:rsidR="005A031B" w:rsidRPr="00B8198F">
        <w:rPr>
          <w:rFonts w:ascii="Times New Roman" w:hAnsi="Times New Roman" w:cs="Times New Roman"/>
          <w:bCs/>
          <w:sz w:val="20"/>
          <w:lang w:val="en-US"/>
        </w:rPr>
        <w:t>± 1 Fe mg kg</w:t>
      </w:r>
      <w:r w:rsidR="005A031B" w:rsidRPr="00B8198F">
        <w:rPr>
          <w:rFonts w:ascii="Times New Roman" w:hAnsi="Times New Roman" w:cs="Times New Roman"/>
          <w:bCs/>
          <w:sz w:val="20"/>
          <w:vertAlign w:val="superscript"/>
          <w:lang w:val="en-US"/>
        </w:rPr>
        <w:t xml:space="preserve">−1 </w:t>
      </w:r>
      <w:r w:rsidR="006A3A82" w:rsidRPr="00B8198F">
        <w:rPr>
          <w:rFonts w:ascii="Times New Roman" w:hAnsi="Times New Roman" w:cs="Times New Roman"/>
          <w:bCs/>
          <w:sz w:val="20"/>
          <w:lang w:val="en-US"/>
        </w:rPr>
        <w:t>)</w:t>
      </w:r>
      <w:r w:rsidR="005A031B" w:rsidRPr="00B8198F">
        <w:rPr>
          <w:rFonts w:ascii="Times New Roman" w:hAnsi="Times New Roman" w:cs="Times New Roman"/>
          <w:bCs/>
          <w:sz w:val="20"/>
          <w:lang w:val="en-US"/>
        </w:rPr>
        <w:t>.</w:t>
      </w:r>
      <w:r w:rsidR="0006723A" w:rsidRPr="00B8198F">
        <w:rPr>
          <w:rFonts w:ascii="Times New Roman" w:hAnsi="Times New Roman" w:cs="Times New Roman"/>
          <w:bCs/>
          <w:sz w:val="20"/>
          <w:vertAlign w:val="superscript"/>
          <w:lang w:val="en-US"/>
        </w:rPr>
        <w:t>1</w:t>
      </w:r>
      <w:r w:rsidR="005A031B" w:rsidRPr="00B8198F">
        <w:rPr>
          <w:rFonts w:ascii="Times New Roman" w:hAnsi="Times New Roman" w:cs="Times New Roman"/>
          <w:bCs/>
          <w:sz w:val="20"/>
          <w:lang w:val="en-US"/>
        </w:rPr>
        <w:t xml:space="preserve"> After </w:t>
      </w:r>
      <w:r w:rsidR="00BB765B" w:rsidRPr="00B8198F">
        <w:rPr>
          <w:rFonts w:ascii="Times New Roman" w:hAnsi="Times New Roman" w:cs="Times New Roman"/>
          <w:bCs/>
          <w:sz w:val="20"/>
          <w:lang w:val="en-US"/>
        </w:rPr>
        <w:t>six</w:t>
      </w:r>
      <w:r w:rsidR="005A031B" w:rsidRPr="00B8198F">
        <w:rPr>
          <w:rFonts w:ascii="Times New Roman" w:hAnsi="Times New Roman" w:cs="Times New Roman"/>
          <w:bCs/>
          <w:sz w:val="20"/>
          <w:lang w:val="en-US"/>
        </w:rPr>
        <w:t xml:space="preserve"> weeks of adaptation to chronic exposure to</w:t>
      </w:r>
      <w:r w:rsidR="00BB765B" w:rsidRPr="00B8198F">
        <w:rPr>
          <w:rFonts w:ascii="Times New Roman" w:hAnsi="Times New Roman" w:cs="Times New Roman"/>
          <w:bCs/>
          <w:sz w:val="20"/>
          <w:lang w:val="en-US"/>
        </w:rPr>
        <w:t xml:space="preserve"> a medium containing</w:t>
      </w:r>
      <w:r w:rsidR="005A031B" w:rsidRPr="00B8198F">
        <w:rPr>
          <w:rFonts w:ascii="Times New Roman" w:hAnsi="Times New Roman" w:cs="Times New Roman"/>
          <w:bCs/>
          <w:sz w:val="20"/>
          <w:lang w:val="en-US"/>
        </w:rPr>
        <w:t xml:space="preserve"> </w:t>
      </w:r>
      <w:r w:rsidR="00BB765B" w:rsidRPr="00B8198F">
        <w:rPr>
          <w:rFonts w:ascii="Times New Roman" w:eastAsia="SimSun" w:hAnsi="Times New Roman" w:cs="Times New Roman"/>
          <w:sz w:val="20"/>
          <w:szCs w:val="20"/>
          <w:lang w:val="en-US"/>
        </w:rPr>
        <w:t>2</w:t>
      </w:r>
      <w:r w:rsidR="00B8198F">
        <w:rPr>
          <w:rFonts w:ascii="Times New Roman" w:eastAsia="SimSun" w:hAnsi="Times New Roman" w:cs="Times New Roman"/>
          <w:sz w:val="20"/>
          <w:szCs w:val="20"/>
          <w:lang w:val="en-US"/>
        </w:rPr>
        <w:t>,</w:t>
      </w:r>
      <w:r w:rsidR="00BB765B" w:rsidRPr="00B8198F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000 Fe </w:t>
      </w:r>
      <w:r w:rsidR="00BB765B" w:rsidRPr="00B8198F">
        <w:rPr>
          <w:rFonts w:ascii="Times New Roman" w:hAnsi="Times New Roman" w:cs="Times New Roman"/>
          <w:bCs/>
          <w:sz w:val="20"/>
          <w:lang w:val="en-US"/>
        </w:rPr>
        <w:t>mg kg</w:t>
      </w:r>
      <w:r w:rsidR="00BB765B" w:rsidRPr="00B8198F">
        <w:rPr>
          <w:rFonts w:ascii="Times New Roman" w:hAnsi="Times New Roman" w:cs="Times New Roman"/>
          <w:bCs/>
          <w:sz w:val="20"/>
          <w:vertAlign w:val="superscript"/>
          <w:lang w:val="en-US"/>
        </w:rPr>
        <w:t>−1</w:t>
      </w:r>
      <w:r w:rsidR="005A031B" w:rsidRPr="00B8198F">
        <w:rPr>
          <w:rFonts w:ascii="Times New Roman" w:hAnsi="Times New Roman" w:cs="Times New Roman"/>
          <w:bCs/>
          <w:sz w:val="20"/>
          <w:lang w:val="en-US"/>
        </w:rPr>
        <w:t xml:space="preserve">, the growth rate </w:t>
      </w:r>
      <w:r w:rsidR="00DA6CF8" w:rsidRPr="00B8198F">
        <w:rPr>
          <w:rFonts w:ascii="Times New Roman" w:hAnsi="Times New Roman" w:cs="Times New Roman"/>
          <w:bCs/>
          <w:sz w:val="20"/>
          <w:lang w:val="en-US"/>
        </w:rPr>
        <w:t xml:space="preserve">slightly </w:t>
      </w:r>
      <w:r w:rsidR="005A031B" w:rsidRPr="00B8198F">
        <w:rPr>
          <w:rFonts w:ascii="Times New Roman" w:hAnsi="Times New Roman" w:cs="Times New Roman"/>
          <w:bCs/>
          <w:sz w:val="20"/>
          <w:lang w:val="en-US"/>
        </w:rPr>
        <w:t xml:space="preserve">decreased </w:t>
      </w:r>
      <w:r w:rsidR="00DA6CF8" w:rsidRPr="00B8198F">
        <w:rPr>
          <w:rFonts w:ascii="Times New Roman" w:hAnsi="Times New Roman" w:cs="Times New Roman"/>
          <w:bCs/>
          <w:sz w:val="20"/>
          <w:lang w:val="en-US"/>
        </w:rPr>
        <w:t>(-</w:t>
      </w:r>
      <w:r w:rsidR="005A031B" w:rsidRPr="00B8198F">
        <w:rPr>
          <w:rFonts w:ascii="Times New Roman" w:hAnsi="Times New Roman" w:cs="Times New Roman"/>
          <w:bCs/>
          <w:sz w:val="20"/>
          <w:lang w:val="en-US"/>
        </w:rPr>
        <w:t>16.3%</w:t>
      </w:r>
      <w:r w:rsidR="00DA6CF8" w:rsidRPr="00B8198F">
        <w:rPr>
          <w:rFonts w:ascii="Times New Roman" w:hAnsi="Times New Roman" w:cs="Times New Roman"/>
          <w:bCs/>
          <w:sz w:val="20"/>
          <w:lang w:val="en-US"/>
        </w:rPr>
        <w:t>)</w:t>
      </w:r>
      <w:r w:rsidR="005A031B" w:rsidRPr="00B8198F">
        <w:rPr>
          <w:rFonts w:ascii="Times New Roman" w:hAnsi="Times New Roman" w:cs="Times New Roman"/>
          <w:bCs/>
          <w:sz w:val="20"/>
          <w:lang w:val="en-US"/>
        </w:rPr>
        <w:t xml:space="preserve">, </w:t>
      </w:r>
      <w:r w:rsidR="006A3577" w:rsidRPr="00B8198F">
        <w:rPr>
          <w:rFonts w:ascii="Times New Roman" w:hAnsi="Times New Roman" w:cs="Times New Roman"/>
          <w:bCs/>
          <w:sz w:val="20"/>
          <w:lang w:val="en-US"/>
        </w:rPr>
        <w:t xml:space="preserve">while the </w:t>
      </w:r>
      <w:r w:rsidR="00DA6CF8" w:rsidRPr="00B8198F">
        <w:rPr>
          <w:rFonts w:ascii="Times New Roman" w:hAnsi="Times New Roman" w:cs="Times New Roman"/>
          <w:bCs/>
          <w:sz w:val="20"/>
          <w:lang w:val="en-US"/>
        </w:rPr>
        <w:t>iron</w:t>
      </w:r>
      <w:r w:rsidR="006A3577" w:rsidRPr="00B8198F">
        <w:rPr>
          <w:rFonts w:ascii="Times New Roman" w:hAnsi="Times New Roman" w:cs="Times New Roman"/>
          <w:bCs/>
          <w:sz w:val="20"/>
          <w:lang w:val="en-US"/>
        </w:rPr>
        <w:t xml:space="preserve"> content reached 7</w:t>
      </w:r>
      <w:r w:rsidR="00B8198F">
        <w:rPr>
          <w:rFonts w:ascii="Times New Roman" w:hAnsi="Times New Roman" w:cs="Times New Roman"/>
          <w:bCs/>
          <w:sz w:val="20"/>
          <w:lang w:val="en-US"/>
        </w:rPr>
        <w:t>,</w:t>
      </w:r>
      <w:r w:rsidR="006A3577" w:rsidRPr="00B8198F">
        <w:rPr>
          <w:rFonts w:ascii="Times New Roman" w:hAnsi="Times New Roman" w:cs="Times New Roman"/>
          <w:bCs/>
          <w:sz w:val="20"/>
          <w:lang w:val="en-US"/>
        </w:rPr>
        <w:t>800 ± 50 Fe</w:t>
      </w:r>
      <w:r w:rsidR="00B8198F">
        <w:rPr>
          <w:rFonts w:ascii="Times New Roman" w:hAnsi="Times New Roman" w:cs="Times New Roman"/>
          <w:bCs/>
          <w:sz w:val="20"/>
          <w:lang w:val="en-US"/>
        </w:rPr>
        <w:t> </w:t>
      </w:r>
      <w:r w:rsidR="006A3577" w:rsidRPr="00B8198F">
        <w:rPr>
          <w:rFonts w:ascii="Times New Roman" w:hAnsi="Times New Roman" w:cs="Times New Roman"/>
          <w:bCs/>
          <w:sz w:val="20"/>
          <w:lang w:val="en-US"/>
        </w:rPr>
        <w:t>mg</w:t>
      </w:r>
      <w:r w:rsidR="00B8198F">
        <w:rPr>
          <w:rFonts w:ascii="Times New Roman" w:hAnsi="Times New Roman" w:cs="Times New Roman"/>
          <w:bCs/>
          <w:sz w:val="20"/>
          <w:lang w:val="en-US"/>
        </w:rPr>
        <w:t> </w:t>
      </w:r>
      <w:r w:rsidR="006A3577" w:rsidRPr="00B8198F">
        <w:rPr>
          <w:rFonts w:ascii="Times New Roman" w:hAnsi="Times New Roman" w:cs="Times New Roman"/>
          <w:bCs/>
          <w:sz w:val="20"/>
          <w:lang w:val="en-US"/>
        </w:rPr>
        <w:t>kg</w:t>
      </w:r>
      <w:r w:rsidR="006A3577" w:rsidRPr="00B8198F">
        <w:rPr>
          <w:rFonts w:ascii="Times New Roman" w:hAnsi="Times New Roman" w:cs="Times New Roman"/>
          <w:bCs/>
          <w:sz w:val="20"/>
          <w:vertAlign w:val="superscript"/>
          <w:lang w:val="en-US"/>
        </w:rPr>
        <w:t>−1</w:t>
      </w:r>
      <w:r w:rsidR="005A031B" w:rsidRPr="00B8198F">
        <w:rPr>
          <w:rFonts w:ascii="Times New Roman" w:hAnsi="Times New Roman" w:cs="Times New Roman"/>
          <w:bCs/>
          <w:sz w:val="20"/>
          <w:lang w:val="en-US"/>
        </w:rPr>
        <w:t xml:space="preserve">. Moreover, the low pH and the high </w:t>
      </w:r>
      <w:r w:rsidR="009B7FC1" w:rsidRPr="00B8198F">
        <w:rPr>
          <w:rFonts w:ascii="Times New Roman" w:hAnsi="Times New Roman" w:cs="Times New Roman"/>
          <w:bCs/>
          <w:sz w:val="20"/>
          <w:lang w:val="en-US"/>
        </w:rPr>
        <w:t>iron</w:t>
      </w:r>
      <w:r w:rsidR="005A031B" w:rsidRPr="00B8198F">
        <w:rPr>
          <w:rFonts w:ascii="Times New Roman" w:hAnsi="Times New Roman" w:cs="Times New Roman"/>
          <w:bCs/>
          <w:sz w:val="20"/>
          <w:lang w:val="en-US"/>
        </w:rPr>
        <w:t xml:space="preserve"> concentration created a selective environment </w:t>
      </w:r>
      <w:r w:rsidR="00B8198F">
        <w:rPr>
          <w:rFonts w:ascii="Times New Roman" w:hAnsi="Times New Roman" w:cs="Times New Roman"/>
          <w:bCs/>
          <w:sz w:val="20"/>
          <w:lang w:val="en-US"/>
        </w:rPr>
        <w:t>that</w:t>
      </w:r>
      <w:r w:rsidR="005A031B" w:rsidRPr="00B8198F">
        <w:rPr>
          <w:rFonts w:ascii="Times New Roman" w:hAnsi="Times New Roman" w:cs="Times New Roman"/>
          <w:bCs/>
          <w:sz w:val="20"/>
          <w:lang w:val="en-US"/>
        </w:rPr>
        <w:t xml:space="preserve"> limits the risk of </w:t>
      </w:r>
      <w:r w:rsidR="009B7FC1" w:rsidRPr="00B8198F">
        <w:rPr>
          <w:rFonts w:ascii="Times New Roman" w:hAnsi="Times New Roman" w:cs="Times New Roman"/>
          <w:bCs/>
          <w:sz w:val="20"/>
          <w:lang w:val="en-US"/>
        </w:rPr>
        <w:t xml:space="preserve">microbial </w:t>
      </w:r>
      <w:r w:rsidR="005A031B" w:rsidRPr="00B8198F">
        <w:rPr>
          <w:rFonts w:ascii="Times New Roman" w:hAnsi="Times New Roman" w:cs="Times New Roman"/>
          <w:bCs/>
          <w:sz w:val="20"/>
          <w:lang w:val="en-US"/>
        </w:rPr>
        <w:t>contamination.</w:t>
      </w:r>
    </w:p>
    <w:p w14:paraId="1DC0992A" w14:textId="75ED8C12" w:rsidR="004C0D04" w:rsidRPr="00B8198F" w:rsidRDefault="006A3577" w:rsidP="006A3577">
      <w:pPr>
        <w:spacing w:afterLines="40" w:after="96" w:line="240" w:lineRule="auto"/>
        <w:jc w:val="both"/>
        <w:rPr>
          <w:rFonts w:ascii="Times New Roman" w:hAnsi="Times New Roman" w:cs="Times New Roman"/>
          <w:bCs/>
          <w:sz w:val="20"/>
          <w:lang w:val="en-US"/>
        </w:rPr>
      </w:pPr>
      <w:r w:rsidRPr="00B8198F">
        <w:rPr>
          <w:rFonts w:ascii="Times New Roman" w:hAnsi="Times New Roman" w:cs="Times New Roman"/>
          <w:bCs/>
          <w:sz w:val="20"/>
          <w:lang w:val="en-US"/>
        </w:rPr>
        <w:t>The results clearly indicate that it is possible to design innovative heterotrophic bioprocesses t</w:t>
      </w:r>
      <w:r w:rsidR="00B8198F">
        <w:rPr>
          <w:rFonts w:ascii="Times New Roman" w:hAnsi="Times New Roman" w:cs="Times New Roman"/>
          <w:bCs/>
          <w:sz w:val="20"/>
          <w:lang w:val="en-US"/>
        </w:rPr>
        <w:t>hat</w:t>
      </w:r>
      <w:r w:rsidRPr="00B8198F">
        <w:rPr>
          <w:rFonts w:ascii="Times New Roman" w:hAnsi="Times New Roman" w:cs="Times New Roman"/>
          <w:bCs/>
          <w:sz w:val="20"/>
          <w:lang w:val="en-US"/>
        </w:rPr>
        <w:t xml:space="preserve"> induce iron accumulation in microalgae, making these organisms a promising tool </w:t>
      </w:r>
      <w:r w:rsidR="00B8198F">
        <w:rPr>
          <w:rFonts w:ascii="Times New Roman" w:hAnsi="Times New Roman" w:cs="Times New Roman"/>
          <w:bCs/>
          <w:sz w:val="20"/>
          <w:lang w:val="en-US"/>
        </w:rPr>
        <w:t>for</w:t>
      </w:r>
      <w:r w:rsidRPr="00B8198F">
        <w:rPr>
          <w:rFonts w:ascii="Times New Roman" w:hAnsi="Times New Roman" w:cs="Times New Roman"/>
          <w:bCs/>
          <w:sz w:val="20"/>
          <w:lang w:val="en-US"/>
        </w:rPr>
        <w:t xml:space="preserve"> </w:t>
      </w:r>
      <w:r w:rsidR="00B8198F">
        <w:rPr>
          <w:rFonts w:ascii="Times New Roman" w:hAnsi="Times New Roman" w:cs="Times New Roman"/>
          <w:bCs/>
          <w:sz w:val="20"/>
          <w:lang w:val="en-US"/>
        </w:rPr>
        <w:t>combating</w:t>
      </w:r>
      <w:r w:rsidRPr="00B8198F">
        <w:rPr>
          <w:rFonts w:ascii="Times New Roman" w:hAnsi="Times New Roman" w:cs="Times New Roman"/>
          <w:bCs/>
          <w:sz w:val="20"/>
          <w:lang w:val="en-US"/>
        </w:rPr>
        <w:t xml:space="preserve"> iron deficiency.  </w:t>
      </w:r>
      <w:r w:rsidR="004C0D04" w:rsidRPr="00B8198F">
        <w:rPr>
          <w:lang w:val="en-US"/>
        </w:rPr>
        <w:t xml:space="preserve"> </w:t>
      </w:r>
    </w:p>
    <w:p w14:paraId="7B55C517" w14:textId="38FBCB1E" w:rsidR="004C0D04" w:rsidRPr="00B8198F" w:rsidRDefault="004C0D04" w:rsidP="004C0D04">
      <w:pPr>
        <w:pStyle w:val="Els-Abstract-head"/>
        <w:spacing w:before="120" w:after="0" w:line="240" w:lineRule="auto"/>
        <w:jc w:val="both"/>
        <w:rPr>
          <w:b w:val="0"/>
          <w:sz w:val="20"/>
        </w:rPr>
      </w:pPr>
    </w:p>
    <w:p w14:paraId="0AE07FD0" w14:textId="77777777" w:rsidR="002A0A1C" w:rsidRPr="0099572B" w:rsidRDefault="002A0A1C" w:rsidP="00665C88">
      <w:pPr>
        <w:pStyle w:val="Els-keywords"/>
        <w:spacing w:after="120" w:line="240" w:lineRule="auto"/>
        <w:rPr>
          <w:b/>
          <w:sz w:val="20"/>
        </w:rPr>
      </w:pPr>
      <w:r w:rsidRPr="0099572B">
        <w:rPr>
          <w:b/>
          <w:sz w:val="20"/>
        </w:rPr>
        <w:t>References</w:t>
      </w:r>
    </w:p>
    <w:p w14:paraId="68876F0B" w14:textId="77777777" w:rsidR="007F0911" w:rsidRPr="00B8198F" w:rsidRDefault="007F0911" w:rsidP="007F0911">
      <w:pPr>
        <w:pStyle w:val="Els-keywords"/>
        <w:spacing w:after="120" w:line="240" w:lineRule="auto"/>
        <w:rPr>
          <w:sz w:val="20"/>
        </w:rPr>
      </w:pPr>
      <w:r w:rsidRPr="0099572B">
        <w:rPr>
          <w:sz w:val="20"/>
        </w:rPr>
        <w:t xml:space="preserve">[1] Gao, F. et al. </w:t>
      </w:r>
      <w:r w:rsidRPr="00B8198F">
        <w:rPr>
          <w:sz w:val="20"/>
        </w:rPr>
        <w:t xml:space="preserve">Iron bioaccessibility assessment and bioaccumulation enrichment in microalgae under different production conditions. Bioresour. Technol. 441, 133567 (2026). </w:t>
      </w:r>
    </w:p>
    <w:p w14:paraId="70CA5150" w14:textId="77777777" w:rsidR="007F0911" w:rsidRPr="00B8198F" w:rsidRDefault="002A0A1C" w:rsidP="007F0911">
      <w:pPr>
        <w:pStyle w:val="Els-keywords"/>
        <w:spacing w:after="120" w:line="240" w:lineRule="auto"/>
        <w:rPr>
          <w:sz w:val="20"/>
        </w:rPr>
      </w:pPr>
      <w:r w:rsidRPr="00B8198F">
        <w:rPr>
          <w:sz w:val="20"/>
        </w:rPr>
        <w:t>[</w:t>
      </w:r>
      <w:r w:rsidR="007F0911" w:rsidRPr="00B8198F">
        <w:rPr>
          <w:sz w:val="20"/>
        </w:rPr>
        <w:t>2</w:t>
      </w:r>
      <w:r w:rsidRPr="00B8198F">
        <w:rPr>
          <w:sz w:val="20"/>
        </w:rPr>
        <w:t xml:space="preserve">] </w:t>
      </w:r>
      <w:r w:rsidR="006A3577" w:rsidRPr="00B8198F">
        <w:rPr>
          <w:sz w:val="20"/>
        </w:rPr>
        <w:t>Gardner, W. M. et al. Prevalence, years lived with disability, and trends in anaemia burden by severity and cause, 1990–2021: findings from the Global Burden of Disease Study 2021. Lancet Haematol. 10, e713–e734 (2023).</w:t>
      </w:r>
    </w:p>
    <w:p w14:paraId="2B20F088" w14:textId="019DC38B" w:rsidR="006A3577" w:rsidRPr="00B8198F" w:rsidRDefault="007F0911" w:rsidP="006A3577">
      <w:pPr>
        <w:pStyle w:val="Els-keywords"/>
        <w:spacing w:after="120" w:line="240" w:lineRule="auto"/>
        <w:rPr>
          <w:sz w:val="20"/>
        </w:rPr>
      </w:pPr>
      <w:r w:rsidRPr="00B8198F">
        <w:rPr>
          <w:sz w:val="20"/>
        </w:rPr>
        <w:t xml:space="preserve">[3] Perez, B. et al. More efficient iron enrichment in heterotrophic </w:t>
      </w:r>
      <w:r w:rsidRPr="00B8198F">
        <w:rPr>
          <w:i/>
          <w:iCs/>
          <w:sz w:val="20"/>
        </w:rPr>
        <w:t>Auxenochlorella protothecoides</w:t>
      </w:r>
      <w:r w:rsidRPr="00B8198F">
        <w:rPr>
          <w:sz w:val="20"/>
        </w:rPr>
        <w:t xml:space="preserve"> by nitrogen source manipulation. Bioresour. Technol. 446, 134139 (2026)</w:t>
      </w:r>
    </w:p>
    <w:sectPr w:rsidR="006A3577" w:rsidRPr="00B8198F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FB328" w14:textId="77777777" w:rsidR="0006429C" w:rsidRDefault="0006429C" w:rsidP="00431340">
      <w:pPr>
        <w:spacing w:after="0" w:line="240" w:lineRule="auto"/>
      </w:pPr>
      <w:r>
        <w:separator/>
      </w:r>
    </w:p>
  </w:endnote>
  <w:endnote w:type="continuationSeparator" w:id="0">
    <w:p w14:paraId="550B8CBC" w14:textId="77777777" w:rsidR="0006429C" w:rsidRDefault="0006429C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3479C" w14:textId="77777777" w:rsidR="0006429C" w:rsidRDefault="0006429C" w:rsidP="00431340">
      <w:pPr>
        <w:spacing w:after="0" w:line="240" w:lineRule="auto"/>
      </w:pPr>
      <w:r>
        <w:separator/>
      </w:r>
    </w:p>
  </w:footnote>
  <w:footnote w:type="continuationSeparator" w:id="0">
    <w:p w14:paraId="29438054" w14:textId="77777777" w:rsidR="0006429C" w:rsidRDefault="0006429C" w:rsidP="0043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06429C"/>
    <w:rsid w:val="0006723A"/>
    <w:rsid w:val="001546BD"/>
    <w:rsid w:val="00182BA3"/>
    <w:rsid w:val="001C51B3"/>
    <w:rsid w:val="001D556D"/>
    <w:rsid w:val="001F4B36"/>
    <w:rsid w:val="00234209"/>
    <w:rsid w:val="0024246D"/>
    <w:rsid w:val="002537DA"/>
    <w:rsid w:val="00295A19"/>
    <w:rsid w:val="002A0A1C"/>
    <w:rsid w:val="002A2B3C"/>
    <w:rsid w:val="002F13FE"/>
    <w:rsid w:val="002F2D1B"/>
    <w:rsid w:val="00322A5B"/>
    <w:rsid w:val="00372579"/>
    <w:rsid w:val="003B0ABD"/>
    <w:rsid w:val="00431340"/>
    <w:rsid w:val="004A6C62"/>
    <w:rsid w:val="004B7E87"/>
    <w:rsid w:val="004C0D04"/>
    <w:rsid w:val="004C2B6F"/>
    <w:rsid w:val="004C7508"/>
    <w:rsid w:val="004D1125"/>
    <w:rsid w:val="00586949"/>
    <w:rsid w:val="0059506C"/>
    <w:rsid w:val="005A031B"/>
    <w:rsid w:val="005B77D8"/>
    <w:rsid w:val="005C565B"/>
    <w:rsid w:val="005F02E0"/>
    <w:rsid w:val="006224D7"/>
    <w:rsid w:val="00646E7D"/>
    <w:rsid w:val="00654033"/>
    <w:rsid w:val="00665C88"/>
    <w:rsid w:val="00673656"/>
    <w:rsid w:val="0068580F"/>
    <w:rsid w:val="006A3577"/>
    <w:rsid w:val="006A3A82"/>
    <w:rsid w:val="006D3652"/>
    <w:rsid w:val="006E4742"/>
    <w:rsid w:val="0070599D"/>
    <w:rsid w:val="007307E1"/>
    <w:rsid w:val="007679DD"/>
    <w:rsid w:val="00772B06"/>
    <w:rsid w:val="007752C7"/>
    <w:rsid w:val="0078067E"/>
    <w:rsid w:val="00781D43"/>
    <w:rsid w:val="007F0911"/>
    <w:rsid w:val="00827794"/>
    <w:rsid w:val="00951B67"/>
    <w:rsid w:val="0098022F"/>
    <w:rsid w:val="0099572B"/>
    <w:rsid w:val="009B7FC1"/>
    <w:rsid w:val="009C71BA"/>
    <w:rsid w:val="009D7961"/>
    <w:rsid w:val="009E174B"/>
    <w:rsid w:val="00A21CBF"/>
    <w:rsid w:val="00A91F1B"/>
    <w:rsid w:val="00B52B79"/>
    <w:rsid w:val="00B56B87"/>
    <w:rsid w:val="00B73ABB"/>
    <w:rsid w:val="00B8198F"/>
    <w:rsid w:val="00BB765B"/>
    <w:rsid w:val="00BD21DA"/>
    <w:rsid w:val="00BE265A"/>
    <w:rsid w:val="00BF77A7"/>
    <w:rsid w:val="00C17F75"/>
    <w:rsid w:val="00C40973"/>
    <w:rsid w:val="00C4616B"/>
    <w:rsid w:val="00C67487"/>
    <w:rsid w:val="00CC179B"/>
    <w:rsid w:val="00CC3E0E"/>
    <w:rsid w:val="00D10E69"/>
    <w:rsid w:val="00D36476"/>
    <w:rsid w:val="00D7288A"/>
    <w:rsid w:val="00D753D4"/>
    <w:rsid w:val="00D83BE4"/>
    <w:rsid w:val="00DA6CF8"/>
    <w:rsid w:val="00DD4FF9"/>
    <w:rsid w:val="00DF610D"/>
    <w:rsid w:val="00E05212"/>
    <w:rsid w:val="00E6362B"/>
    <w:rsid w:val="00E929F3"/>
    <w:rsid w:val="00F33466"/>
    <w:rsid w:val="00F53806"/>
    <w:rsid w:val="00F55548"/>
    <w:rsid w:val="00F83854"/>
    <w:rsid w:val="00FA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  <w:style w:type="paragraph" w:styleId="Revision">
    <w:name w:val="Revision"/>
    <w:hidden/>
    <w:uiPriority w:val="99"/>
    <w:semiHidden/>
    <w:rsid w:val="00E929F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546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46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46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6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6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3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946</Words>
  <Characters>5397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Abiusi  Fabian</cp:lastModifiedBy>
  <cp:revision>2</cp:revision>
  <dcterms:created xsi:type="dcterms:W3CDTF">2026-05-06T10:55:00Z</dcterms:created>
  <dcterms:modified xsi:type="dcterms:W3CDTF">2026-05-06T10:55:00Z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  <property fmtid="{D5CDD505-2E9C-101B-9397-08002B2CF9AE}" pid="3" name="GrammarlyDocumentId">
    <vt:lpwstr>18220048-ed2f-4cfb-867a-aba9cdb27ea8</vt:lpwstr>
  </property>
  <property fmtid="{D5CDD505-2E9C-101B-9397-08002B2CF9AE}" pid="4" name="Mendeley Recent Style Id 0_1">
    <vt:lpwstr>http://www.zotero.org/styles/acs-sustainable-chemistry-and-engineering</vt:lpwstr>
  </property>
  <property fmtid="{D5CDD505-2E9C-101B-9397-08002B2CF9AE}" pid="5" name="Mendeley Recent Style Name 0_1">
    <vt:lpwstr>ACS Sustainable Chemistry &amp; Engineering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Name 1_1">
    <vt:lpwstr>American Psychological Association 7th edition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 6th edition</vt:lpwstr>
  </property>
  <property fmtid="{D5CDD505-2E9C-101B-9397-08002B2CF9AE}" pid="10" name="Mendeley Recent Style Id 3_1">
    <vt:lpwstr>http://www.zotero.org/styles/bioresource-technology</vt:lpwstr>
  </property>
  <property fmtid="{D5CDD505-2E9C-101B-9397-08002B2CF9AE}" pid="11" name="Mendeley Recent Style Name 3_1">
    <vt:lpwstr>Bioresource Technology</vt:lpwstr>
  </property>
  <property fmtid="{D5CDD505-2E9C-101B-9397-08002B2CF9AE}" pid="12" name="Mendeley Recent Style Id 4_1">
    <vt:lpwstr>http://www.zotero.org/styles/chicago-author-date</vt:lpwstr>
  </property>
  <property fmtid="{D5CDD505-2E9C-101B-9397-08002B2CF9AE}" pid="13" name="Mendeley Recent Style Name 4_1">
    <vt:lpwstr>Chicago Manual of Style 17th edition (author-date)</vt:lpwstr>
  </property>
  <property fmtid="{D5CDD505-2E9C-101B-9397-08002B2CF9AE}" pid="14" name="Mendeley Recent Style Id 5_1">
    <vt:lpwstr>http://www.zotero.org/styles/harvard-cite-them-right</vt:lpwstr>
  </property>
  <property fmtid="{D5CDD505-2E9C-101B-9397-08002B2CF9AE}" pid="15" name="Mendeley Recent Style Name 5_1">
    <vt:lpwstr>Cite Them Right 10th edition - Harvard</vt:lpwstr>
  </property>
  <property fmtid="{D5CDD505-2E9C-101B-9397-08002B2CF9AE}" pid="16" name="Mendeley Recent Style Id 6_1">
    <vt:lpwstr>http://www.zotero.org/styles/ieee</vt:lpwstr>
  </property>
  <property fmtid="{D5CDD505-2E9C-101B-9397-08002B2CF9AE}" pid="17" name="Mendeley Recent Style Name 6_1">
    <vt:lpwstr>IEEE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http://www.zotero.org/styles/modern-language-association</vt:lpwstr>
  </property>
  <property fmtid="{D5CDD505-2E9C-101B-9397-08002B2CF9AE}" pid="21" name="Mendeley Recent Style Name 8_1">
    <vt:lpwstr>Modern Language Association 8th edition</vt:lpwstr>
  </property>
  <property fmtid="{D5CDD505-2E9C-101B-9397-08002B2CF9AE}" pid="22" name="Mendeley Recent Style Id 9_1">
    <vt:lpwstr>http://www.zotero.org/styles/nature</vt:lpwstr>
  </property>
  <property fmtid="{D5CDD505-2E9C-101B-9397-08002B2CF9AE}" pid="23" name="Mendeley Recent Style Name 9_1">
    <vt:lpwstr>Nature</vt:lpwstr>
  </property>
  <property fmtid="{D5CDD505-2E9C-101B-9397-08002B2CF9AE}" pid="24" name="Mendeley Document_1">
    <vt:lpwstr>True</vt:lpwstr>
  </property>
  <property fmtid="{D5CDD505-2E9C-101B-9397-08002B2CF9AE}" pid="25" name="Mendeley Unique User Id_1">
    <vt:lpwstr>6950cfed-9acb-39d3-b9de-487027fd46ea</vt:lpwstr>
  </property>
  <property fmtid="{D5CDD505-2E9C-101B-9397-08002B2CF9AE}" pid="26" name="Mendeley Citation Style_1">
    <vt:lpwstr>http://www.zotero.org/styles/nature</vt:lpwstr>
  </property>
</Properties>
</file>