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5B40AB1" w:rsidR="00431340" w:rsidRPr="00C67487" w:rsidRDefault="00133601" w:rsidP="00C67487">
      <w:pPr>
        <w:pStyle w:val="Els-Title"/>
      </w:pPr>
      <w:r w:rsidRPr="00133601">
        <w:t>Efficient Regulation of Cell Differentiation Toward Next-Generation Cell-Based Food Development</w:t>
      </w:r>
    </w:p>
    <w:p w14:paraId="5E774EED" w14:textId="10E561FB" w:rsidR="00673656" w:rsidRPr="009C71BA" w:rsidRDefault="00133601" w:rsidP="00673656">
      <w:pPr>
        <w:pStyle w:val="Els-Author"/>
        <w:ind w:right="2"/>
        <w:rPr>
          <w:rFonts w:hint="eastAsia"/>
          <w:sz w:val="24"/>
          <w:szCs w:val="24"/>
          <w:lang w:eastAsia="zh-CN"/>
        </w:rPr>
      </w:pPr>
      <w:r w:rsidRPr="00133601">
        <w:rPr>
          <w:rFonts w:hint="eastAsia"/>
          <w:sz w:val="24"/>
          <w:szCs w:val="24"/>
          <w:lang w:val="nb-NO" w:eastAsia="zh-CN"/>
        </w:rPr>
        <w:t>Xin Guan</w:t>
      </w:r>
      <w:r w:rsidR="00673656" w:rsidRPr="009C71BA">
        <w:rPr>
          <w:sz w:val="24"/>
          <w:szCs w:val="24"/>
          <w:vertAlign w:val="superscript"/>
        </w:rPr>
        <w:footnoteReference w:id="1"/>
      </w:r>
      <w:r w:rsidR="00673656" w:rsidRPr="009C71BA">
        <w:rPr>
          <w:sz w:val="24"/>
          <w:szCs w:val="24"/>
          <w:lang w:val="nb-NO"/>
        </w:rPr>
        <w:t xml:space="preserve">, </w:t>
      </w:r>
      <w:r>
        <w:rPr>
          <w:rFonts w:hint="eastAsia"/>
          <w:sz w:val="24"/>
          <w:szCs w:val="24"/>
          <w:lang w:val="nb-NO" w:eastAsia="zh-CN"/>
        </w:rPr>
        <w:t>Jingwen Zhou</w:t>
      </w:r>
      <w:r w:rsidRPr="00133601">
        <w:rPr>
          <w:rFonts w:hint="eastAsia"/>
          <w:sz w:val="24"/>
          <w:szCs w:val="24"/>
          <w:lang w:val="nb-NO" w:eastAsia="zh-CN"/>
        </w:rPr>
        <w:t xml:space="preserve">, </w:t>
      </w:r>
      <w:r>
        <w:rPr>
          <w:rFonts w:hint="eastAsia"/>
          <w:sz w:val="24"/>
          <w:szCs w:val="24"/>
          <w:lang w:eastAsia="zh-CN"/>
        </w:rPr>
        <w:t>Jian Chen</w:t>
      </w:r>
    </w:p>
    <w:p w14:paraId="5342D5C1" w14:textId="221BB0DE" w:rsidR="00673656" w:rsidRPr="00673656" w:rsidRDefault="00673656"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p>
    <w:p w14:paraId="652CE03F" w14:textId="3CDA1B94" w:rsidR="00431340" w:rsidRPr="00234209" w:rsidRDefault="004C7508" w:rsidP="00234209">
      <w:pPr>
        <w:pStyle w:val="Els-Affiliation"/>
        <w:rPr>
          <w:iCs/>
        </w:rPr>
      </w:pPr>
      <w:r>
        <w:rPr>
          <w:vertAlign w:val="superscript"/>
          <w:lang w:val="nb-NO"/>
        </w:rPr>
        <w:t>a</w:t>
      </w:r>
      <w:r w:rsidRPr="00234209">
        <w:rPr>
          <w:lang w:val="nb-NO"/>
        </w:rPr>
        <w:t xml:space="preserve"> </w:t>
      </w:r>
      <w:r w:rsidR="00272B11" w:rsidRPr="00272B11">
        <w:rPr>
          <w:lang w:val="nb-NO"/>
        </w:rPr>
        <w:t>Science Center for Future Foods, Jiangnan University, Wuxi 214122, China</w:t>
      </w:r>
      <w:r w:rsidRPr="00234209">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089C35C0" w:rsidR="007679DD" w:rsidRDefault="00133601" w:rsidP="00272B11">
      <w:pPr>
        <w:snapToGrid w:val="0"/>
        <w:spacing w:afterLines="50" w:after="120" w:line="276" w:lineRule="auto"/>
        <w:ind w:firstLineChars="142" w:firstLine="284"/>
        <w:jc w:val="both"/>
        <w:rPr>
          <w:rFonts w:ascii="Times New Roman" w:hAnsi="Times New Roman" w:cs="Times New Roman"/>
          <w:sz w:val="20"/>
          <w:szCs w:val="20"/>
          <w:lang w:val="en-US" w:eastAsia="zh-CN"/>
        </w:rPr>
      </w:pPr>
      <w:r w:rsidRPr="00133601">
        <w:rPr>
          <w:rFonts w:ascii="Times New Roman" w:hAnsi="Times New Roman" w:cs="Times New Roman"/>
          <w:sz w:val="20"/>
          <w:szCs w:val="20"/>
          <w:lang w:val="en-US" w:eastAsia="zh-CN"/>
        </w:rPr>
        <w:t>Consumer demand for diverse, healthy, and sustainable food is driving rapid innovation in cell-based food technology. This presentation reports our systematic efforts to decipher the molecular mechanisms governing efficient myogenic and adipogenic differentiation of livestock stem cells, and to develop practical strategies for producing nutritious, flavorful cell-based meat products.</w:t>
      </w:r>
    </w:p>
    <w:p w14:paraId="3CAEAB87" w14:textId="0BC29FCF" w:rsidR="00133601" w:rsidRDefault="00133601" w:rsidP="00272B11">
      <w:pPr>
        <w:snapToGrid w:val="0"/>
        <w:spacing w:afterLines="50" w:after="120" w:line="276" w:lineRule="auto"/>
        <w:ind w:firstLineChars="142" w:firstLine="284"/>
        <w:jc w:val="both"/>
        <w:rPr>
          <w:rFonts w:ascii="Times New Roman" w:hAnsi="Times New Roman" w:cs="Times New Roman"/>
          <w:sz w:val="20"/>
          <w:szCs w:val="20"/>
          <w:lang w:val="en-US" w:eastAsia="zh-CN"/>
        </w:rPr>
      </w:pPr>
      <w:r w:rsidRPr="00133601">
        <w:rPr>
          <w:rFonts w:ascii="Times New Roman" w:hAnsi="Times New Roman" w:cs="Times New Roman"/>
          <w:sz w:val="20"/>
          <w:szCs w:val="20"/>
          <w:lang w:val="en-US" w:eastAsia="zh-CN"/>
        </w:rPr>
        <w:t>First, we elucidated a previously unrecognized mitochondrial clearance-remodeling network during myogenic differentiation. We demonstrated that mitochondrial quantity and function first decrease then increase, with day 1 identified as the critical window for mitochondrial clearance. Targeting this network with a food-grade natural compound, curcumin, increased myofiber formation by ~2‑fold and myosin expression by 1.4‑2.1‑fold</w:t>
      </w:r>
      <w:r>
        <w:rPr>
          <w:rFonts w:ascii="Times New Roman" w:hAnsi="Times New Roman" w:cs="Times New Roman" w:hint="eastAsia"/>
          <w:sz w:val="20"/>
          <w:szCs w:val="20"/>
          <w:lang w:val="en-US" w:eastAsia="zh-CN"/>
        </w:rPr>
        <w:t xml:space="preserve"> </w:t>
      </w:r>
      <w:r w:rsidRPr="00133601">
        <w:rPr>
          <w:rFonts w:ascii="Times New Roman" w:hAnsi="Times New Roman" w:cs="Times New Roman"/>
          <w:sz w:val="20"/>
          <w:szCs w:val="20"/>
          <w:lang w:val="en-US" w:eastAsia="zh-CN"/>
        </w:rPr>
        <w:t>[1</w:t>
      </w:r>
      <w:r w:rsidR="00D71717">
        <w:rPr>
          <w:rFonts w:ascii="Times New Roman" w:hAnsi="Times New Roman" w:cs="Times New Roman" w:hint="eastAsia"/>
          <w:sz w:val="20"/>
          <w:szCs w:val="20"/>
          <w:lang w:val="en-US" w:eastAsia="zh-CN"/>
        </w:rPr>
        <w:t>-2</w:t>
      </w:r>
      <w:r w:rsidRPr="00133601">
        <w:rPr>
          <w:rFonts w:ascii="Times New Roman" w:hAnsi="Times New Roman" w:cs="Times New Roman"/>
          <w:sz w:val="20"/>
          <w:szCs w:val="20"/>
          <w:lang w:val="en-US" w:eastAsia="zh-CN"/>
        </w:rPr>
        <w:t>].</w:t>
      </w:r>
    </w:p>
    <w:p w14:paraId="49B8D58E" w14:textId="0379454B" w:rsidR="00133601" w:rsidRDefault="00133601" w:rsidP="00272B11">
      <w:pPr>
        <w:snapToGrid w:val="0"/>
        <w:spacing w:afterLines="50" w:after="120" w:line="276" w:lineRule="auto"/>
        <w:ind w:firstLineChars="142" w:firstLine="284"/>
        <w:jc w:val="both"/>
        <w:rPr>
          <w:rFonts w:ascii="Times New Roman" w:hAnsi="Times New Roman" w:cs="Times New Roman"/>
          <w:sz w:val="20"/>
          <w:szCs w:val="20"/>
          <w:lang w:val="en-US" w:eastAsia="zh-CN"/>
        </w:rPr>
      </w:pPr>
      <w:r w:rsidRPr="00133601">
        <w:rPr>
          <w:rFonts w:ascii="Times New Roman" w:hAnsi="Times New Roman" w:cs="Times New Roman"/>
          <w:sz w:val="20"/>
          <w:szCs w:val="20"/>
          <w:lang w:val="en-US" w:eastAsia="zh-CN"/>
        </w:rPr>
        <w:t xml:space="preserve">Second, we replaced conventional chemical adipogenic inducers (IBMX, rosiglitazone, oleic acid) with edible oils (flaxseed oil, peanut oil). This food-grade induction approach achieved nearly 100% adipogenic differentiation of porcine and bovine mesenchymal stem cells, shortened the induction period from 10‑14 days to 5 days, and increased triglyceride content by 1.5‑2.0‑fold while retaining a healthy fatty acid profile (rich in PUFA, zero </w:t>
      </w:r>
      <w:proofErr w:type="spellStart"/>
      <w:r w:rsidRPr="00133601">
        <w:rPr>
          <w:rFonts w:ascii="Times New Roman" w:hAnsi="Times New Roman" w:cs="Times New Roman"/>
          <w:sz w:val="20"/>
          <w:szCs w:val="20"/>
          <w:lang w:val="en-US" w:eastAsia="zh-CN"/>
        </w:rPr>
        <w:t>trans fat</w:t>
      </w:r>
      <w:proofErr w:type="spellEnd"/>
      <w:r w:rsidRPr="00133601">
        <w:rPr>
          <w:rFonts w:ascii="Times New Roman" w:hAnsi="Times New Roman" w:cs="Times New Roman"/>
          <w:sz w:val="20"/>
          <w:szCs w:val="20"/>
          <w:lang w:val="en-US" w:eastAsia="zh-CN"/>
        </w:rPr>
        <w:t>)</w:t>
      </w:r>
      <w:r>
        <w:rPr>
          <w:rFonts w:ascii="Times New Roman" w:hAnsi="Times New Roman" w:cs="Times New Roman" w:hint="eastAsia"/>
          <w:sz w:val="20"/>
          <w:szCs w:val="20"/>
          <w:lang w:val="en-US" w:eastAsia="zh-CN"/>
        </w:rPr>
        <w:t xml:space="preserve"> </w:t>
      </w:r>
      <w:r w:rsidRPr="00133601">
        <w:rPr>
          <w:rFonts w:ascii="Times New Roman" w:hAnsi="Times New Roman" w:cs="Times New Roman"/>
          <w:sz w:val="20"/>
          <w:szCs w:val="20"/>
          <w:lang w:val="en-US" w:eastAsia="zh-CN"/>
        </w:rPr>
        <w:t>[</w:t>
      </w:r>
      <w:r w:rsidR="00D71717">
        <w:rPr>
          <w:rFonts w:ascii="Times New Roman" w:hAnsi="Times New Roman" w:cs="Times New Roman" w:hint="eastAsia"/>
          <w:sz w:val="20"/>
          <w:szCs w:val="20"/>
          <w:lang w:val="en-US" w:eastAsia="zh-CN"/>
        </w:rPr>
        <w:t>3</w:t>
      </w:r>
      <w:r w:rsidRPr="00133601">
        <w:rPr>
          <w:rFonts w:ascii="Times New Roman" w:hAnsi="Times New Roman" w:cs="Times New Roman"/>
          <w:sz w:val="20"/>
          <w:szCs w:val="20"/>
          <w:lang w:val="en-US" w:eastAsia="zh-CN"/>
        </w:rPr>
        <w:t>].</w:t>
      </w:r>
    </w:p>
    <w:p w14:paraId="78EEB90D" w14:textId="3DA00802" w:rsidR="00133601" w:rsidRPr="00133601" w:rsidRDefault="00133601" w:rsidP="00272B11">
      <w:pPr>
        <w:snapToGrid w:val="0"/>
        <w:spacing w:afterLines="50" w:after="120" w:line="276" w:lineRule="auto"/>
        <w:ind w:firstLineChars="142" w:firstLine="284"/>
        <w:jc w:val="both"/>
        <w:rPr>
          <w:rFonts w:ascii="Times New Roman" w:hAnsi="Times New Roman" w:cs="Times New Roman" w:hint="eastAsia"/>
          <w:sz w:val="20"/>
          <w:szCs w:val="20"/>
          <w:lang w:val="en-US" w:eastAsia="zh-CN"/>
        </w:rPr>
      </w:pPr>
      <w:r w:rsidRPr="00133601">
        <w:rPr>
          <w:rFonts w:ascii="Times New Roman" w:hAnsi="Times New Roman" w:cs="Times New Roman"/>
          <w:sz w:val="20"/>
          <w:szCs w:val="20"/>
          <w:lang w:val="en-US" w:eastAsia="zh-CN"/>
        </w:rPr>
        <w:t>Third, we developed a serum‑free, inducer‑free muscle‑fat co‑differentiation system. By co‑culturing porcine muscle stem cells and mesenchymal stem cells at a 7:3 ratio, we simultaneously generated myotubes and adipocytes within 3 days, boosting myogenic efficiency by 3.5‑fold</w:t>
      </w:r>
      <w:r>
        <w:rPr>
          <w:rFonts w:ascii="Times New Roman" w:hAnsi="Times New Roman" w:cs="Times New Roman" w:hint="eastAsia"/>
          <w:sz w:val="20"/>
          <w:szCs w:val="20"/>
          <w:lang w:val="en-US" w:eastAsia="zh-CN"/>
        </w:rPr>
        <w:t xml:space="preserve"> </w:t>
      </w:r>
      <w:r w:rsidRPr="00133601">
        <w:rPr>
          <w:rFonts w:ascii="Times New Roman" w:hAnsi="Times New Roman" w:cs="Times New Roman"/>
          <w:sz w:val="20"/>
          <w:szCs w:val="20"/>
          <w:lang w:val="en-US" w:eastAsia="zh-CN"/>
        </w:rPr>
        <w:t>[</w:t>
      </w:r>
      <w:r w:rsidR="00D71717">
        <w:rPr>
          <w:rFonts w:ascii="Times New Roman" w:hAnsi="Times New Roman" w:cs="Times New Roman" w:hint="eastAsia"/>
          <w:sz w:val="20"/>
          <w:szCs w:val="20"/>
          <w:lang w:val="en-US" w:eastAsia="zh-CN"/>
        </w:rPr>
        <w:t>4</w:t>
      </w:r>
      <w:r w:rsidRPr="00133601">
        <w:rPr>
          <w:rFonts w:ascii="Times New Roman" w:hAnsi="Times New Roman" w:cs="Times New Roman"/>
          <w:sz w:val="20"/>
          <w:szCs w:val="20"/>
          <w:lang w:val="en-US" w:eastAsia="zh-CN"/>
        </w:rPr>
        <w:t>].</w:t>
      </w:r>
    </w:p>
    <w:p w14:paraId="437B4261" w14:textId="19CFCD19" w:rsidR="00133601" w:rsidRDefault="00133601" w:rsidP="00272B11">
      <w:pPr>
        <w:snapToGrid w:val="0"/>
        <w:spacing w:afterLines="50" w:after="120" w:line="276" w:lineRule="auto"/>
        <w:ind w:firstLineChars="142" w:firstLine="284"/>
        <w:jc w:val="both"/>
        <w:rPr>
          <w:rFonts w:ascii="Times New Roman" w:hAnsi="Times New Roman" w:cs="Times New Roman"/>
          <w:sz w:val="20"/>
          <w:szCs w:val="20"/>
          <w:lang w:val="en-US" w:eastAsia="zh-CN"/>
        </w:rPr>
      </w:pPr>
      <w:r w:rsidRPr="00133601">
        <w:rPr>
          <w:rFonts w:ascii="Times New Roman" w:hAnsi="Times New Roman" w:cs="Times New Roman"/>
          <w:sz w:val="20"/>
          <w:szCs w:val="20"/>
          <w:lang w:val="en-US" w:eastAsia="zh-CN"/>
        </w:rPr>
        <w:t>These integrated technologies allowed us to produce high‑protein cultured beef (22.6 g/100g protein, comparable to conventional beef) and protein/fat‑rich cultured meat noodles (14.6 g/100g protein, 16.2 g/100g fat) with 2‑3‑fold higher essential amino acids, 12‑fold higher PUFA, and a pronounced meaty aroma</w:t>
      </w:r>
      <w:r w:rsidR="00D30BEE">
        <w:rPr>
          <w:rFonts w:ascii="Times New Roman" w:hAnsi="Times New Roman" w:cs="Times New Roman" w:hint="eastAsia"/>
          <w:sz w:val="20"/>
          <w:szCs w:val="20"/>
          <w:lang w:val="en-US" w:eastAsia="zh-CN"/>
        </w:rPr>
        <w:t xml:space="preserve"> </w:t>
      </w:r>
      <w:r w:rsidR="00D30BEE" w:rsidRPr="00133601">
        <w:rPr>
          <w:rFonts w:ascii="Times New Roman" w:hAnsi="Times New Roman" w:cs="Times New Roman"/>
          <w:sz w:val="20"/>
          <w:szCs w:val="20"/>
          <w:lang w:val="en-US" w:eastAsia="zh-CN"/>
        </w:rPr>
        <w:t>[</w:t>
      </w:r>
      <w:r w:rsidR="00272B11">
        <w:rPr>
          <w:rFonts w:ascii="Times New Roman" w:hAnsi="Times New Roman" w:cs="Times New Roman" w:hint="eastAsia"/>
          <w:sz w:val="20"/>
          <w:szCs w:val="20"/>
          <w:lang w:val="en-US" w:eastAsia="zh-CN"/>
        </w:rPr>
        <w:t>5</w:t>
      </w:r>
      <w:r w:rsidR="00D30BEE" w:rsidRPr="00133601">
        <w:rPr>
          <w:rFonts w:ascii="Times New Roman" w:hAnsi="Times New Roman" w:cs="Times New Roman"/>
          <w:sz w:val="20"/>
          <w:szCs w:val="20"/>
          <w:lang w:val="en-US" w:eastAsia="zh-CN"/>
        </w:rPr>
        <w:t>]</w:t>
      </w:r>
      <w:r w:rsidRPr="00133601">
        <w:rPr>
          <w:rFonts w:ascii="Times New Roman" w:hAnsi="Times New Roman" w:cs="Times New Roman"/>
          <w:sz w:val="20"/>
          <w:szCs w:val="20"/>
          <w:lang w:val="en-US" w:eastAsia="zh-CN"/>
        </w:rPr>
        <w:t>. Our work provides a scientific and technological basis for upgrading China’s novel food protein production systems.</w:t>
      </w:r>
    </w:p>
    <w:p w14:paraId="16F02EFD" w14:textId="77777777" w:rsidR="00272B11" w:rsidRPr="0078067E" w:rsidRDefault="00272B11" w:rsidP="005B553C">
      <w:pPr>
        <w:snapToGrid w:val="0"/>
        <w:spacing w:after="0"/>
        <w:ind w:firstLineChars="142" w:firstLine="284"/>
        <w:jc w:val="both"/>
        <w:rPr>
          <w:rFonts w:ascii="Times New Roman" w:hAnsi="Times New Roman" w:cs="Times New Roman" w:hint="eastAsia"/>
          <w:sz w:val="20"/>
          <w:szCs w:val="20"/>
          <w:lang w:val="en-US" w:eastAsia="zh-CN"/>
        </w:rPr>
      </w:pPr>
    </w:p>
    <w:p w14:paraId="0AE07FD0" w14:textId="77777777" w:rsidR="002A0A1C" w:rsidRPr="00C67487" w:rsidRDefault="002A0A1C" w:rsidP="005B553C">
      <w:pPr>
        <w:pStyle w:val="Els-keywords"/>
        <w:pBdr>
          <w:bottom w:val="none" w:sz="0" w:space="0" w:color="auto"/>
        </w:pBdr>
        <w:spacing w:after="120" w:line="240" w:lineRule="auto"/>
        <w:rPr>
          <w:b/>
          <w:sz w:val="20"/>
        </w:rPr>
      </w:pPr>
      <w:r w:rsidRPr="00C67487">
        <w:rPr>
          <w:b/>
          <w:sz w:val="20"/>
        </w:rPr>
        <w:t>References</w:t>
      </w:r>
    </w:p>
    <w:p w14:paraId="171FDEAE" w14:textId="53B6DCF8" w:rsidR="00272B11" w:rsidRPr="00665C88" w:rsidRDefault="00272B11" w:rsidP="005B553C">
      <w:pPr>
        <w:pStyle w:val="Els-keywords"/>
        <w:pBdr>
          <w:bottom w:val="none" w:sz="0" w:space="0" w:color="auto"/>
        </w:pBdr>
        <w:spacing w:after="120" w:line="240" w:lineRule="auto"/>
        <w:rPr>
          <w:rFonts w:hint="eastAsia"/>
          <w:sz w:val="20"/>
          <w:lang w:eastAsia="zh-CN"/>
        </w:rPr>
      </w:pPr>
      <w:r w:rsidRPr="00272B11">
        <w:rPr>
          <w:sz w:val="20"/>
        </w:rPr>
        <w:t>[</w:t>
      </w:r>
      <w:r>
        <w:rPr>
          <w:rFonts w:hint="eastAsia"/>
          <w:sz w:val="20"/>
          <w:lang w:eastAsia="zh-CN"/>
        </w:rPr>
        <w:t>1</w:t>
      </w:r>
      <w:r w:rsidRPr="00272B11">
        <w:rPr>
          <w:sz w:val="20"/>
        </w:rPr>
        <w:t>]</w:t>
      </w:r>
      <w:r>
        <w:rPr>
          <w:rFonts w:hint="eastAsia"/>
          <w:sz w:val="20"/>
          <w:lang w:eastAsia="zh-CN"/>
        </w:rPr>
        <w:t xml:space="preserve"> </w:t>
      </w:r>
      <w:r w:rsidRPr="00272B11">
        <w:rPr>
          <w:sz w:val="20"/>
        </w:rPr>
        <w:t>Wang, D., Li, M., Ma, J., Du, G., Zhou, J., Chen, J.*, Guan, X.* Mitocytosis, mitophagy, and apoptosis coordinately drive mitochondrial clearance to regulate myogenic differentiation. Journal of Advanced Research, 2026. doi.org/10.1016/j.jare.2026.01.065.</w:t>
      </w:r>
    </w:p>
    <w:p w14:paraId="4781B8DC" w14:textId="77777777" w:rsidR="00272B11" w:rsidRDefault="00272B11" w:rsidP="005B553C">
      <w:pPr>
        <w:pStyle w:val="Els-keywords"/>
        <w:pBdr>
          <w:bottom w:val="none" w:sz="0" w:space="0" w:color="auto"/>
        </w:pBdr>
        <w:spacing w:after="120" w:line="240" w:lineRule="auto"/>
        <w:rPr>
          <w:sz w:val="20"/>
          <w:lang w:eastAsia="zh-CN"/>
        </w:rPr>
      </w:pPr>
      <w:r w:rsidRPr="00272B11">
        <w:rPr>
          <w:sz w:val="20"/>
        </w:rPr>
        <w:t>[2]</w:t>
      </w:r>
      <w:r>
        <w:rPr>
          <w:rFonts w:hint="eastAsia"/>
          <w:sz w:val="20"/>
          <w:lang w:eastAsia="zh-CN"/>
        </w:rPr>
        <w:t xml:space="preserve"> </w:t>
      </w:r>
      <w:r w:rsidRPr="00272B11">
        <w:rPr>
          <w:sz w:val="20"/>
        </w:rPr>
        <w:t xml:space="preserve">Wang, D., Li, M., Ma, J., Zhao Y., Du, G., Zhou, J., Chen, J., Guan, X.* Engineering high-quality cultured beef through curcumin-driven metabolic reprogramming in a high-protein scaffold. Trends in Biotechnology, 2026, Accept. </w:t>
      </w:r>
    </w:p>
    <w:p w14:paraId="74046B14" w14:textId="2EF5C366" w:rsidR="00272B11" w:rsidRPr="00272B11" w:rsidRDefault="00272B11" w:rsidP="005B553C">
      <w:pPr>
        <w:pStyle w:val="Els-keywords"/>
        <w:pBdr>
          <w:bottom w:val="none" w:sz="0" w:space="0" w:color="auto"/>
        </w:pBdr>
        <w:spacing w:after="120" w:line="240" w:lineRule="auto"/>
        <w:rPr>
          <w:rFonts w:hint="eastAsia"/>
          <w:sz w:val="20"/>
          <w:lang w:eastAsia="zh-CN"/>
        </w:rPr>
      </w:pPr>
      <w:r w:rsidRPr="00272B11">
        <w:rPr>
          <w:sz w:val="20"/>
          <w:lang w:eastAsia="zh-CN"/>
        </w:rPr>
        <w:t>[</w:t>
      </w:r>
      <w:r>
        <w:rPr>
          <w:rFonts w:hint="eastAsia"/>
          <w:sz w:val="20"/>
          <w:lang w:eastAsia="zh-CN"/>
        </w:rPr>
        <w:t>3</w:t>
      </w:r>
      <w:r w:rsidRPr="00272B11">
        <w:rPr>
          <w:sz w:val="20"/>
          <w:lang w:eastAsia="zh-CN"/>
        </w:rPr>
        <w:t>]</w:t>
      </w:r>
      <w:r>
        <w:rPr>
          <w:rFonts w:hint="eastAsia"/>
          <w:sz w:val="20"/>
          <w:lang w:eastAsia="zh-CN"/>
        </w:rPr>
        <w:t xml:space="preserve"> </w:t>
      </w:r>
      <w:r w:rsidRPr="00272B11">
        <w:rPr>
          <w:sz w:val="20"/>
          <w:lang w:eastAsia="zh-CN"/>
        </w:rPr>
        <w:t xml:space="preserve">Tang, H.H., Wang, L.Y., Sun, W.Q., Du, G.C., Zhou, J.W., Chen, J.*, Guan, X.* Production of cultured fat using peanut oil as a safe and efficient adipogenic inducer. Journal of Future Foods, 2026, 6(6):1214-1226. </w:t>
      </w:r>
    </w:p>
    <w:p w14:paraId="536B0799" w14:textId="2B0B1B36" w:rsidR="00272B11" w:rsidRPr="00272B11" w:rsidRDefault="00272B11" w:rsidP="005B553C">
      <w:pPr>
        <w:pStyle w:val="Els-keywords"/>
        <w:pBdr>
          <w:bottom w:val="none" w:sz="0" w:space="0" w:color="auto"/>
        </w:pBdr>
        <w:spacing w:after="120" w:line="240" w:lineRule="auto"/>
        <w:rPr>
          <w:rFonts w:hint="eastAsia"/>
          <w:sz w:val="20"/>
          <w:lang w:eastAsia="zh-CN"/>
        </w:rPr>
      </w:pPr>
      <w:r w:rsidRPr="00272B11">
        <w:rPr>
          <w:sz w:val="20"/>
          <w:lang w:eastAsia="zh-CN"/>
        </w:rPr>
        <w:t>[</w:t>
      </w:r>
      <w:r>
        <w:rPr>
          <w:rFonts w:hint="eastAsia"/>
          <w:sz w:val="20"/>
          <w:lang w:eastAsia="zh-CN"/>
        </w:rPr>
        <w:t>4</w:t>
      </w:r>
      <w:r w:rsidRPr="00272B11">
        <w:rPr>
          <w:sz w:val="20"/>
          <w:lang w:eastAsia="zh-CN"/>
        </w:rPr>
        <w:t>]</w:t>
      </w:r>
      <w:r>
        <w:rPr>
          <w:rFonts w:hint="eastAsia"/>
          <w:sz w:val="20"/>
          <w:lang w:eastAsia="zh-CN"/>
        </w:rPr>
        <w:t xml:space="preserve"> </w:t>
      </w:r>
      <w:r w:rsidRPr="00272B11">
        <w:rPr>
          <w:sz w:val="20"/>
          <w:lang w:eastAsia="zh-CN"/>
        </w:rPr>
        <w:t xml:space="preserve">Guan, X., Fei, Z.C., Wang, L.Y., Ji, G.H., Du, G.C., Ma, Z.W., Zhou, J.W.* Engineered streaky pork by 3D co-printing and co-differentiation of muscle and fat cells. Food Hydrocolloids, 2025, 158, 110578. </w:t>
      </w:r>
    </w:p>
    <w:p w14:paraId="7BC67066" w14:textId="60E3D5AC" w:rsidR="003B0ABD" w:rsidRPr="002537DA" w:rsidRDefault="002A0A1C" w:rsidP="005B553C">
      <w:pPr>
        <w:pStyle w:val="Els-keywords"/>
        <w:pBdr>
          <w:bottom w:val="none" w:sz="0" w:space="0" w:color="auto"/>
        </w:pBdr>
        <w:spacing w:after="120" w:line="240" w:lineRule="auto"/>
        <w:rPr>
          <w:sz w:val="20"/>
          <w:lang w:eastAsia="zh-CN"/>
        </w:rPr>
      </w:pPr>
      <w:r w:rsidRPr="00C67487">
        <w:rPr>
          <w:sz w:val="20"/>
        </w:rPr>
        <w:t>[</w:t>
      </w:r>
      <w:r w:rsidR="00272B11">
        <w:rPr>
          <w:rFonts w:hint="eastAsia"/>
          <w:sz w:val="20"/>
          <w:lang w:eastAsia="zh-CN"/>
        </w:rPr>
        <w:t>5</w:t>
      </w:r>
      <w:r w:rsidRPr="00C67487">
        <w:rPr>
          <w:sz w:val="20"/>
        </w:rPr>
        <w:t xml:space="preserve">] </w:t>
      </w:r>
      <w:r w:rsidR="00272B11" w:rsidRPr="00272B11">
        <w:rPr>
          <w:sz w:val="20"/>
        </w:rPr>
        <w:t xml:space="preserve">Guan, X.*, Wang, L.Y., Sun, W.Q., Feng, Y.W., Wang, D.D., Tang, H.H., Ma, Z.W.*, Du, G.C., Chen, J., Zhou, J.W.* Creating cell-based hybrid noodles for sustainable and nutrient-balanced diets via a serum-free and animal-free 3D co-differentiation system. Advanced Science, 2026, 13:e19916. </w:t>
      </w:r>
      <w:r w:rsidR="0078067E" w:rsidRPr="0078067E">
        <w:rPr>
          <w:sz w:val="20"/>
        </w:rPr>
        <w:t xml:space="preserve"> </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2D8DE" w14:textId="77777777" w:rsidR="00F32FFD" w:rsidRDefault="00F32FFD" w:rsidP="00431340">
      <w:pPr>
        <w:spacing w:after="0" w:line="240" w:lineRule="auto"/>
      </w:pPr>
      <w:r>
        <w:separator/>
      </w:r>
    </w:p>
  </w:endnote>
  <w:endnote w:type="continuationSeparator" w:id="0">
    <w:p w14:paraId="2EB56306" w14:textId="77777777" w:rsidR="00F32FFD" w:rsidRDefault="00F32FFD"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6583C" w14:textId="77777777" w:rsidR="00F32FFD" w:rsidRDefault="00F32FFD" w:rsidP="00431340">
      <w:pPr>
        <w:spacing w:after="0" w:line="240" w:lineRule="auto"/>
      </w:pPr>
      <w:r>
        <w:separator/>
      </w:r>
    </w:p>
  </w:footnote>
  <w:footnote w:type="continuationSeparator" w:id="0">
    <w:p w14:paraId="11E2F795" w14:textId="77777777" w:rsidR="00F32FFD" w:rsidRDefault="00F32FFD" w:rsidP="00431340">
      <w:pPr>
        <w:spacing w:after="0" w:line="240" w:lineRule="auto"/>
      </w:pPr>
      <w:r>
        <w:continuationSeparator/>
      </w:r>
    </w:p>
  </w:footnote>
  <w:footnote w:id="1">
    <w:p w14:paraId="1DA89215" w14:textId="549A3024" w:rsidR="00673656" w:rsidRPr="00BF77A7" w:rsidRDefault="00673656" w:rsidP="00673656">
      <w:pPr>
        <w:pStyle w:val="Els-footnote"/>
        <w:ind w:firstLine="120"/>
        <w:rPr>
          <w:rFonts w:hint="eastAsia"/>
          <w:sz w:val="18"/>
          <w:szCs w:val="18"/>
          <w:lang w:eastAsia="zh-CN"/>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133601">
        <w:rPr>
          <w:rFonts w:hint="eastAsia"/>
          <w:sz w:val="18"/>
          <w:szCs w:val="18"/>
          <w:lang w:val="nb-NO" w:eastAsia="zh-CN"/>
        </w:rPr>
        <w:t>guanxin@jiangnan.edu.cn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bordersDoNotSurroundHeader/>
  <w:bordersDoNotSurroundFooter/>
  <w:proofState w:spelling="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D4B47"/>
    <w:rsid w:val="00133601"/>
    <w:rsid w:val="001C51B3"/>
    <w:rsid w:val="00234209"/>
    <w:rsid w:val="002537DA"/>
    <w:rsid w:val="00272B11"/>
    <w:rsid w:val="002A0A1C"/>
    <w:rsid w:val="002A2B3C"/>
    <w:rsid w:val="00372579"/>
    <w:rsid w:val="003B0ABD"/>
    <w:rsid w:val="00431340"/>
    <w:rsid w:val="004B7E87"/>
    <w:rsid w:val="004C7508"/>
    <w:rsid w:val="004D1125"/>
    <w:rsid w:val="005450CD"/>
    <w:rsid w:val="0059506C"/>
    <w:rsid w:val="005B553C"/>
    <w:rsid w:val="005B77D8"/>
    <w:rsid w:val="00646E7D"/>
    <w:rsid w:val="00654033"/>
    <w:rsid w:val="00665C88"/>
    <w:rsid w:val="00673656"/>
    <w:rsid w:val="006D3652"/>
    <w:rsid w:val="0070599D"/>
    <w:rsid w:val="007679DD"/>
    <w:rsid w:val="00772B06"/>
    <w:rsid w:val="007752C7"/>
    <w:rsid w:val="0078067E"/>
    <w:rsid w:val="00781D43"/>
    <w:rsid w:val="00827794"/>
    <w:rsid w:val="009C71BA"/>
    <w:rsid w:val="00BE265A"/>
    <w:rsid w:val="00BF77A7"/>
    <w:rsid w:val="00C17F75"/>
    <w:rsid w:val="00C4616B"/>
    <w:rsid w:val="00C67487"/>
    <w:rsid w:val="00CC179B"/>
    <w:rsid w:val="00D10E69"/>
    <w:rsid w:val="00D30BEE"/>
    <w:rsid w:val="00D71717"/>
    <w:rsid w:val="00D753D4"/>
    <w:rsid w:val="00DD4FF9"/>
    <w:rsid w:val="00EA3947"/>
    <w:rsid w:val="00F32FFD"/>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707597">
      <w:bodyDiv w:val="1"/>
      <w:marLeft w:val="0"/>
      <w:marRight w:val="0"/>
      <w:marTop w:val="0"/>
      <w:marBottom w:val="0"/>
      <w:divBdr>
        <w:top w:val="none" w:sz="0" w:space="0" w:color="auto"/>
        <w:left w:val="none" w:sz="0" w:space="0" w:color="auto"/>
        <w:bottom w:val="none" w:sz="0" w:space="0" w:color="auto"/>
        <w:right w:val="none" w:sz="0" w:space="0" w:color="auto"/>
      </w:divBdr>
    </w:div>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521</Words>
  <Characters>2973</Characters>
  <Application>Microsoft Office Word</Application>
  <DocSecurity>0</DocSecurity>
  <Lines>24</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GuanX</cp:lastModifiedBy>
  <cp:revision>7</cp:revision>
  <dcterms:created xsi:type="dcterms:W3CDTF">2026-02-04T06:37:00Z</dcterms:created>
  <dcterms:modified xsi:type="dcterms:W3CDTF">2026-05-09T12:14:00Z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