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E04FE" w14:textId="77777777" w:rsidR="00FF6E23" w:rsidRDefault="00FF6E23" w:rsidP="00FF6E23">
      <w:pPr>
        <w:pStyle w:val="DocHead"/>
        <w:spacing w:before="0" w:after="0"/>
        <w:ind w:left="-119" w:right="-136" w:firstLine="119"/>
      </w:pPr>
      <w:r>
        <w:t>SIFF 2026</w:t>
      </w:r>
    </w:p>
    <w:p w14:paraId="49223A72" w14:textId="77777777" w:rsidR="00FF6E23" w:rsidRDefault="00FF6E23" w:rsidP="00FF6E23">
      <w:pPr>
        <w:pStyle w:val="DocHead"/>
        <w:spacing w:before="0" w:after="0"/>
        <w:ind w:left="-119" w:right="-136" w:firstLine="119"/>
      </w:pPr>
      <w:r>
        <w:t>Singapore International Food Forum 2026</w:t>
      </w:r>
      <w:r>
        <w:br/>
      </w:r>
    </w:p>
    <w:p w14:paraId="41290DC4" w14:textId="77777777" w:rsidR="00FF6E23" w:rsidRPr="00C67487" w:rsidRDefault="00FF6E23" w:rsidP="00FF6E23">
      <w:pPr>
        <w:pStyle w:val="Els-Title"/>
      </w:pPr>
      <w:r>
        <w:t>Enhanced Stability and Carotene Retention of Red Palm Oil Microcapsules Using WPI-Maltodextrin Maillard Conjugates as Wall Material</w:t>
      </w:r>
    </w:p>
    <w:p w14:paraId="5F01F6B0" w14:textId="77777777" w:rsidR="00FF6E23" w:rsidRPr="009C71BA" w:rsidRDefault="00FF6E23" w:rsidP="00FF6E23">
      <w:pPr>
        <w:pStyle w:val="Els-Author"/>
        <w:ind w:right="2"/>
        <w:rPr>
          <w:sz w:val="24"/>
          <w:szCs w:val="24"/>
        </w:rPr>
      </w:pPr>
      <w:r>
        <w:rPr>
          <w:sz w:val="24"/>
          <w:szCs w:val="24"/>
          <w:lang w:val="nb-NO"/>
        </w:rPr>
        <w:t>T. Hasna</w:t>
      </w:r>
      <w:r w:rsidRPr="001A6361">
        <w:rPr>
          <w:sz w:val="24"/>
          <w:szCs w:val="24"/>
          <w:vertAlign w:val="superscript"/>
          <w:lang w:val="nb-NO"/>
        </w:rPr>
        <w:t>ab</w:t>
      </w:r>
      <w:r>
        <w:rPr>
          <w:sz w:val="24"/>
          <w:szCs w:val="24"/>
          <w:lang w:val="nb-NO"/>
        </w:rPr>
        <w:t>, C. Hidayat</w:t>
      </w:r>
      <w:r>
        <w:rPr>
          <w:sz w:val="24"/>
          <w:szCs w:val="24"/>
          <w:vertAlign w:val="superscript"/>
          <w:lang w:val="nb-NO"/>
        </w:rPr>
        <w:t>a</w:t>
      </w:r>
      <w:r>
        <w:rPr>
          <w:sz w:val="24"/>
          <w:szCs w:val="24"/>
          <w:lang w:val="nb-NO"/>
        </w:rPr>
        <w:t>, A. D. Setiowati</w:t>
      </w:r>
      <w:r>
        <w:rPr>
          <w:sz w:val="24"/>
          <w:szCs w:val="24"/>
          <w:vertAlign w:val="superscript"/>
          <w:lang w:val="nb-NO"/>
        </w:rPr>
        <w:t>a</w:t>
      </w:r>
      <w:r w:rsidRPr="009C71BA">
        <w:rPr>
          <w:sz w:val="24"/>
          <w:szCs w:val="24"/>
          <w:vertAlign w:val="superscript"/>
        </w:rPr>
        <w:footnoteReference w:id="1"/>
      </w:r>
      <w:r w:rsidRPr="009C71BA">
        <w:rPr>
          <w:sz w:val="24"/>
          <w:szCs w:val="24"/>
          <w:lang w:val="nb-NO"/>
        </w:rPr>
        <w:t xml:space="preserve">, </w:t>
      </w:r>
      <w:r>
        <w:rPr>
          <w:sz w:val="24"/>
          <w:szCs w:val="24"/>
          <w:lang w:val="nb-NO"/>
        </w:rPr>
        <w:t>R. Yanti</w:t>
      </w:r>
      <w:r>
        <w:rPr>
          <w:sz w:val="24"/>
          <w:szCs w:val="24"/>
          <w:vertAlign w:val="superscript"/>
          <w:lang w:val="nb-NO"/>
        </w:rPr>
        <w:t>a</w:t>
      </w:r>
    </w:p>
    <w:p w14:paraId="696199A6" w14:textId="77777777" w:rsidR="00FF6E23" w:rsidRPr="00673656" w:rsidRDefault="00FF6E23" w:rsidP="00FF6E23">
      <w:pPr>
        <w:pStyle w:val="Els-Author"/>
        <w:ind w:right="2"/>
        <w:rPr>
          <w:sz w:val="28"/>
          <w:szCs w:val="28"/>
        </w:rPr>
        <w:sectPr w:rsidR="00FF6E23" w:rsidRPr="00673656" w:rsidSect="00FF6E23">
          <w:headerReference w:type="even" r:id="rId6"/>
          <w:headerReference w:type="default" r:id="rId7"/>
          <w:footerReference w:type="even" r:id="rId8"/>
          <w:footerReference w:type="default" r:id="rId9"/>
          <w:headerReference w:type="first" r:id="rId10"/>
          <w:footerReference w:type="first" r:id="rId11"/>
          <w:footnotePr>
            <w:numFmt w:val="chicago"/>
          </w:footnotePr>
          <w:pgSz w:w="11906" w:h="16838"/>
          <w:pgMar w:top="1440" w:right="1440" w:bottom="1440" w:left="1440" w:header="708" w:footer="708" w:gutter="0"/>
          <w:cols w:space="708"/>
          <w:docGrid w:linePitch="360"/>
        </w:sectPr>
      </w:pPr>
    </w:p>
    <w:p w14:paraId="60505BBB" w14:textId="77777777" w:rsidR="00FF6E23" w:rsidRPr="00234209" w:rsidRDefault="00FF6E23" w:rsidP="00FF6E23">
      <w:pPr>
        <w:pStyle w:val="Els-Affiliation"/>
        <w:rPr>
          <w:iCs/>
        </w:rPr>
      </w:pPr>
      <w:r>
        <w:rPr>
          <w:vertAlign w:val="superscript"/>
          <w:lang w:val="nb-NO"/>
        </w:rPr>
        <w:t>a</w:t>
      </w:r>
      <w:r w:rsidRPr="00234209">
        <w:rPr>
          <w:lang w:val="nb-NO"/>
        </w:rPr>
        <w:t xml:space="preserve"> </w:t>
      </w:r>
      <w:r>
        <w:rPr>
          <w:lang w:val="nb-NO"/>
        </w:rPr>
        <w:t>Department of Food and Agricultural Products Technology, Faculty of Agricultural Technology, Universitas Gadjah Mada, Jl. Flora No.1, Bulaksumur, Yogyakarta, Indonesia 55281</w:t>
      </w:r>
    </w:p>
    <w:p w14:paraId="05DBFA64" w14:textId="77777777" w:rsidR="00FF6E23" w:rsidRPr="001A6361" w:rsidRDefault="00FF6E23" w:rsidP="00FF6E23">
      <w:pPr>
        <w:pStyle w:val="Els-Affiliation"/>
        <w:spacing w:after="400"/>
        <w:rPr>
          <w:i w:val="0"/>
          <w:iCs/>
          <w:lang w:eastAsia="zh-CN"/>
        </w:rPr>
      </w:pPr>
      <w:r w:rsidRPr="00234209">
        <w:rPr>
          <w:vertAlign w:val="superscript"/>
          <w:lang w:val="nb-NO"/>
        </w:rPr>
        <w:t>b</w:t>
      </w:r>
      <w:r w:rsidRPr="00234209">
        <w:rPr>
          <w:lang w:val="nb-NO"/>
        </w:rPr>
        <w:t xml:space="preserve"> </w:t>
      </w:r>
      <w:r>
        <w:rPr>
          <w:lang w:val="nb-NO"/>
        </w:rPr>
        <w:t xml:space="preserve">Department of Food Science and Biotechnology, Faculty of </w:t>
      </w:r>
      <w:r w:rsidRPr="001A6361">
        <w:rPr>
          <w:lang w:val="nb-NO"/>
        </w:rPr>
        <w:t>Agricultural Technology, Universitas Brawijaya, Jl. Veteran, Malang, Indonesia 65142</w:t>
      </w:r>
    </w:p>
    <w:p w14:paraId="63217F8E" w14:textId="77777777" w:rsidR="00FF6E23" w:rsidRPr="00BF77A7" w:rsidRDefault="00FF6E23" w:rsidP="00FF6E23">
      <w:pPr>
        <w:pStyle w:val="Els-Abstract-head"/>
        <w:spacing w:before="120" w:after="0" w:line="240" w:lineRule="auto"/>
        <w:rPr>
          <w:sz w:val="20"/>
        </w:rPr>
      </w:pPr>
      <w:r w:rsidRPr="00BF77A7">
        <w:rPr>
          <w:sz w:val="20"/>
        </w:rPr>
        <w:t>Abstract</w:t>
      </w:r>
    </w:p>
    <w:p w14:paraId="17275164" w14:textId="77777777" w:rsidR="00FF6E23" w:rsidRPr="00D312A8" w:rsidRDefault="00FF6E23" w:rsidP="00FF6E23">
      <w:pPr>
        <w:pStyle w:val="Els-Abstract-head"/>
        <w:spacing w:before="120" w:after="0" w:line="240" w:lineRule="auto"/>
        <w:jc w:val="both"/>
        <w:rPr>
          <w:b w:val="0"/>
          <w:sz w:val="20"/>
        </w:rPr>
      </w:pPr>
      <w:r>
        <w:rPr>
          <w:b w:val="0"/>
          <w:sz w:val="20"/>
        </w:rPr>
        <w:t>Red palm oil (RPO) is a rich source of carotenoids and antioxidants [1]. However, the carotenoid compounds in RPO are highly susceptible to oxidation, light exposure, and thermal degradation, which reduce their stability during processing and storage, and limit their direct application in functional foods products [2]. Effective protection of these bioactive compounds during processing is essential for broader application in food formulations. Microencapsulation is an effective strategy to improve oxidative stability, extend shelf life, and protect bioactive compounds during processing and storage [3]. The present study examines a novel whey protein isolate (WPI) - maltodextrin conjugate (CJ), prepared via the Maillard reaction using hybrid wet-dry heating. CJ was evaluated as wall material for RPO microencapsulation and compared with simple mixing (SM) which prepared by physical blending of WPI and maltodextrin without heating followed by freeze-drying.</w:t>
      </w:r>
    </w:p>
    <w:p w14:paraId="5A6A24E5" w14:textId="77777777" w:rsidR="00FF6E23" w:rsidRPr="00742080" w:rsidRDefault="00FF6E23" w:rsidP="00FF6E23">
      <w:pPr>
        <w:spacing w:before="120" w:after="0" w:line="240" w:lineRule="auto"/>
        <w:jc w:val="both"/>
        <w:rPr>
          <w:rFonts w:ascii="Times New Roman" w:hAnsi="Times New Roman" w:cs="Times New Roman"/>
          <w:sz w:val="20"/>
          <w:szCs w:val="20"/>
          <w:lang w:val="en-US"/>
        </w:rPr>
      </w:pPr>
      <w:r w:rsidRPr="00742080">
        <w:rPr>
          <w:rFonts w:ascii="Times New Roman" w:hAnsi="Times New Roman" w:cs="Times New Roman"/>
          <w:sz w:val="20"/>
          <w:szCs w:val="20"/>
          <w:lang w:val="en-US"/>
        </w:rPr>
        <w:t xml:space="preserve">CJ showed significantly better encapsulation performance than SM, with higher yield (89.67%), encapsulation efficiency (89.30%), and carotene retention (81.70%), </w:t>
      </w:r>
      <w:r w:rsidRPr="00372E15">
        <w:rPr>
          <w:rFonts w:ascii="Times New Roman" w:hAnsi="Times New Roman" w:cs="Times New Roman"/>
          <w:sz w:val="20"/>
          <w:szCs w:val="20"/>
        </w:rPr>
        <w:t>compared to those of SM (62.31%, 64.75%, and 24.27%, respectively)</w:t>
      </w:r>
      <w:r w:rsidRPr="00742080">
        <w:rPr>
          <w:rFonts w:ascii="Times New Roman" w:hAnsi="Times New Roman" w:cs="Times New Roman"/>
          <w:sz w:val="20"/>
          <w:szCs w:val="20"/>
          <w:lang w:val="en-US"/>
        </w:rPr>
        <w:t>. CJ exhibited lower water content (3.85%, db) and hygroscopicity (5.12%) than SM (5.64% and 6.60%), indicating improved powder stability. SEM analysis revealed that CJ formed more compact, spherical, and less porous particles</w:t>
      </w:r>
      <w:r>
        <w:rPr>
          <w:rFonts w:ascii="Times New Roman" w:hAnsi="Times New Roman" w:cs="Times New Roman"/>
          <w:sz w:val="20"/>
          <w:szCs w:val="20"/>
          <w:lang w:val="en-US"/>
        </w:rPr>
        <w:t>,</w:t>
      </w:r>
      <w:r w:rsidRPr="00742080">
        <w:rPr>
          <w:rFonts w:ascii="Times New Roman" w:hAnsi="Times New Roman" w:cs="Times New Roman"/>
          <w:sz w:val="20"/>
          <w:szCs w:val="20"/>
          <w:lang w:val="en-US"/>
        </w:rPr>
        <w:t xml:space="preserve"> </w:t>
      </w:r>
      <w:r>
        <w:rPr>
          <w:rFonts w:ascii="Times New Roman" w:hAnsi="Times New Roman" w:cs="Times New Roman"/>
          <w:sz w:val="20"/>
          <w:szCs w:val="20"/>
          <w:lang w:val="en-US"/>
        </w:rPr>
        <w:t>w</w:t>
      </w:r>
      <w:r w:rsidRPr="00742080">
        <w:rPr>
          <w:rFonts w:ascii="Times New Roman" w:hAnsi="Times New Roman" w:cs="Times New Roman"/>
          <w:sz w:val="20"/>
          <w:szCs w:val="20"/>
          <w:lang w:val="en-US"/>
        </w:rPr>
        <w:t>hereas SM showe</w:t>
      </w:r>
      <w:r>
        <w:rPr>
          <w:rFonts w:ascii="Times New Roman" w:hAnsi="Times New Roman" w:cs="Times New Roman"/>
          <w:sz w:val="20"/>
          <w:szCs w:val="20"/>
          <w:lang w:val="en-US"/>
        </w:rPr>
        <w:t xml:space="preserve">d </w:t>
      </w:r>
      <w:r w:rsidRPr="00742080">
        <w:rPr>
          <w:rFonts w:ascii="Times New Roman" w:hAnsi="Times New Roman" w:cs="Times New Roman"/>
          <w:sz w:val="20"/>
          <w:szCs w:val="20"/>
          <w:lang w:val="en-US"/>
        </w:rPr>
        <w:t>irregular morphology with visible cracks and surface collapse. EDS and elemental mapping confirmed a more homogeneous distribution of oil and wall material in CJ. XRD results indicated that both samples were predominantly amorphous, with lower crystallinity in CJ (4.3%) than SM (5.5%), suggesting improved encapsulation matrix formation. FTIR analysis confirmed stronger intermolecular interactions in CJ due to Maillard conjugation between WPI and maltodextrin, which contributed to better barrier properties and encapsulation stability.</w:t>
      </w:r>
    </w:p>
    <w:p w14:paraId="35164E8B" w14:textId="77777777" w:rsidR="00FF6E23" w:rsidRPr="00742080" w:rsidRDefault="00FF6E23" w:rsidP="00FF6E23">
      <w:pPr>
        <w:spacing w:before="120" w:after="0" w:line="240" w:lineRule="auto"/>
        <w:jc w:val="both"/>
        <w:rPr>
          <w:rFonts w:ascii="Times New Roman" w:hAnsi="Times New Roman" w:cs="Times New Roman"/>
          <w:sz w:val="20"/>
          <w:szCs w:val="20"/>
          <w:lang w:val="en-US"/>
        </w:rPr>
      </w:pPr>
      <w:r w:rsidRPr="00742080">
        <w:rPr>
          <w:rFonts w:ascii="Times New Roman" w:hAnsi="Times New Roman" w:cs="Times New Roman"/>
          <w:sz w:val="20"/>
          <w:szCs w:val="20"/>
          <w:lang w:val="en-US"/>
        </w:rPr>
        <w:t>The</w:t>
      </w:r>
      <w:r>
        <w:rPr>
          <w:rFonts w:ascii="Times New Roman" w:hAnsi="Times New Roman" w:cs="Times New Roman"/>
          <w:sz w:val="20"/>
          <w:szCs w:val="20"/>
          <w:lang w:val="en-US"/>
        </w:rPr>
        <w:t>s</w:t>
      </w:r>
      <w:r w:rsidRPr="00742080">
        <w:rPr>
          <w:rFonts w:ascii="Times New Roman" w:hAnsi="Times New Roman" w:cs="Times New Roman"/>
          <w:sz w:val="20"/>
          <w:szCs w:val="20"/>
          <w:lang w:val="en-US"/>
        </w:rPr>
        <w:t xml:space="preserve">e results </w:t>
      </w:r>
      <w:r>
        <w:rPr>
          <w:rFonts w:ascii="Times New Roman" w:hAnsi="Times New Roman" w:cs="Times New Roman"/>
          <w:sz w:val="20"/>
          <w:szCs w:val="20"/>
          <w:lang w:val="en-US"/>
        </w:rPr>
        <w:t>indicated that wall material of WPI - maltodextrin conjugation enhanced carotenoid protection during RPO microencapsulation. This approach offers a promising strategy for developing RPO-based functional food ingredients with improved encapsulation performance and wider applicability in food products.</w:t>
      </w:r>
    </w:p>
    <w:p w14:paraId="33CFECCF" w14:textId="77777777" w:rsidR="00FF6E23" w:rsidRPr="0078067E" w:rsidRDefault="00FF6E23" w:rsidP="00FF6E23">
      <w:pPr>
        <w:rPr>
          <w:rFonts w:ascii="Times New Roman" w:hAnsi="Times New Roman" w:cs="Times New Roman"/>
          <w:sz w:val="20"/>
          <w:szCs w:val="20"/>
          <w:lang w:val="en-US" w:eastAsia="zh-CN"/>
        </w:rPr>
      </w:pPr>
    </w:p>
    <w:p w14:paraId="4ABC9186" w14:textId="77777777" w:rsidR="00FF6E23" w:rsidRPr="00C67487" w:rsidRDefault="00FF6E23" w:rsidP="00FF6E23">
      <w:pPr>
        <w:pStyle w:val="Els-keywords"/>
        <w:spacing w:after="120" w:line="240" w:lineRule="auto"/>
        <w:rPr>
          <w:b/>
          <w:sz w:val="20"/>
        </w:rPr>
      </w:pPr>
      <w:r w:rsidRPr="00C67487">
        <w:rPr>
          <w:b/>
          <w:sz w:val="20"/>
        </w:rPr>
        <w:t>References</w:t>
      </w:r>
    </w:p>
    <w:p w14:paraId="3F2790BB" w14:textId="77777777" w:rsidR="00FF6E23" w:rsidRPr="00742080" w:rsidRDefault="00FF6E23" w:rsidP="00FF6E23">
      <w:pPr>
        <w:pStyle w:val="Els-keywords"/>
        <w:spacing w:after="120" w:line="240" w:lineRule="auto"/>
        <w:rPr>
          <w:sz w:val="20"/>
        </w:rPr>
      </w:pPr>
      <w:r w:rsidRPr="00C67487">
        <w:rPr>
          <w:sz w:val="20"/>
        </w:rPr>
        <w:t xml:space="preserve">[1] </w:t>
      </w:r>
      <w:r>
        <w:rPr>
          <w:sz w:val="20"/>
        </w:rPr>
        <w:t xml:space="preserve">H. Madoromae and M. Lertcanawanichakul, “Red Palm Oil: Nutritional Composition, Bioactive Properties, and Potential Applications in Health and Cosmetics: A Narrative Review”, </w:t>
      </w:r>
      <w:r w:rsidRPr="00D77D9C">
        <w:rPr>
          <w:i/>
          <w:iCs/>
          <w:sz w:val="20"/>
        </w:rPr>
        <w:t>Molecules</w:t>
      </w:r>
      <w:r>
        <w:rPr>
          <w:sz w:val="20"/>
        </w:rPr>
        <w:t>, Vol. 20, pp. 1-11, 2025.</w:t>
      </w:r>
    </w:p>
    <w:p w14:paraId="6BE8219C" w14:textId="77777777" w:rsidR="00FF6E23" w:rsidRPr="00742080" w:rsidRDefault="00FF6E23" w:rsidP="00FF6E23">
      <w:pPr>
        <w:pStyle w:val="Els-keywords"/>
        <w:spacing w:after="120" w:line="240" w:lineRule="auto"/>
        <w:rPr>
          <w:sz w:val="20"/>
        </w:rPr>
      </w:pPr>
      <w:r>
        <w:rPr>
          <w:sz w:val="20"/>
        </w:rPr>
        <w:t>[2</w:t>
      </w:r>
      <w:r w:rsidRPr="00C67487">
        <w:rPr>
          <w:sz w:val="20"/>
        </w:rPr>
        <w:t>]</w:t>
      </w:r>
      <w:r>
        <w:rPr>
          <w:sz w:val="20"/>
        </w:rPr>
        <w:t xml:space="preserve"> H. Setyani, A. D. Setiowati, S. Rahayoe, C. Hidayat, and A. D. Saputro, “Microencapsulation of Red Palm Oil with Soy Protein Concentrate</w:t>
      </w:r>
      <w:r w:rsidRPr="00EE5D50">
        <w:rPr>
          <w:sz w:val="20"/>
          <w:lang w:val="nb-NO"/>
        </w:rPr>
        <w:t>–</w:t>
      </w:r>
      <w:r>
        <w:rPr>
          <w:sz w:val="20"/>
        </w:rPr>
        <w:t xml:space="preserve">Carrageenan Conjugates for Compound Dark Chocolate Applications”, </w:t>
      </w:r>
      <w:r w:rsidRPr="00D77D9C">
        <w:rPr>
          <w:i/>
          <w:iCs/>
          <w:sz w:val="20"/>
        </w:rPr>
        <w:t>Sustainable Food Technology</w:t>
      </w:r>
      <w:r>
        <w:rPr>
          <w:sz w:val="20"/>
        </w:rPr>
        <w:t>, Vol. 3, pp. 2337-2351, 2025.</w:t>
      </w:r>
    </w:p>
    <w:p w14:paraId="435E490B" w14:textId="77777777" w:rsidR="00FF6E23" w:rsidRPr="00742080" w:rsidRDefault="00FF6E23" w:rsidP="00FF6E23">
      <w:pPr>
        <w:pStyle w:val="Els-keywords"/>
        <w:spacing w:after="120" w:line="240" w:lineRule="auto"/>
        <w:rPr>
          <w:sz w:val="20"/>
        </w:rPr>
      </w:pPr>
      <w:r>
        <w:rPr>
          <w:sz w:val="20"/>
        </w:rPr>
        <w:t>[3] D. T. de Almeida, T. V. Viana, M. M. Costa, C. S. Silva, and S. Feitosa, “Effects of Different Storage Conditions on the Oxidative Stability of Crude and Refined Palm Oil, Olein and Stearin (</w:t>
      </w:r>
      <w:r>
        <w:rPr>
          <w:i/>
          <w:iCs/>
          <w:sz w:val="20"/>
        </w:rPr>
        <w:t>Elaeis guineensis</w:t>
      </w:r>
      <w:r>
        <w:rPr>
          <w:sz w:val="20"/>
        </w:rPr>
        <w:t>)”, Food Science and Technology, Vol. 39, pp. 211-217, 2019.</w:t>
      </w:r>
    </w:p>
    <w:p w14:paraId="5A8380EA" w14:textId="77777777" w:rsidR="00FF6E23" w:rsidRDefault="00FF6E23"/>
    <w:sectPr w:rsidR="00FF6E23" w:rsidSect="00FF6E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63ED" w14:textId="77777777" w:rsidR="00104E98" w:rsidRDefault="00104E98" w:rsidP="00FF6E23">
      <w:pPr>
        <w:spacing w:after="0" w:line="240" w:lineRule="auto"/>
      </w:pPr>
      <w:r>
        <w:separator/>
      </w:r>
    </w:p>
  </w:endnote>
  <w:endnote w:type="continuationSeparator" w:id="0">
    <w:p w14:paraId="3B5E459E" w14:textId="77777777" w:rsidR="00104E98" w:rsidRDefault="00104E98" w:rsidP="00FF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DDF" w14:textId="77777777" w:rsidR="00FF6E23" w:rsidRDefault="00FF6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8A12" w14:textId="77777777" w:rsidR="00FF6E23" w:rsidRDefault="00FF6E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8573" w14:textId="77777777" w:rsidR="00FF6E23" w:rsidRDefault="00FF6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779D1" w14:textId="77777777" w:rsidR="00104E98" w:rsidRDefault="00104E98" w:rsidP="00FF6E23">
      <w:pPr>
        <w:spacing w:after="0" w:line="240" w:lineRule="auto"/>
      </w:pPr>
      <w:r>
        <w:separator/>
      </w:r>
    </w:p>
  </w:footnote>
  <w:footnote w:type="continuationSeparator" w:id="0">
    <w:p w14:paraId="1DA03999" w14:textId="77777777" w:rsidR="00104E98" w:rsidRDefault="00104E98" w:rsidP="00FF6E23">
      <w:pPr>
        <w:spacing w:after="0" w:line="240" w:lineRule="auto"/>
      </w:pPr>
      <w:r>
        <w:continuationSeparator/>
      </w:r>
    </w:p>
  </w:footnote>
  <w:footnote w:id="1">
    <w:p w14:paraId="47B4F850" w14:textId="77777777" w:rsidR="00FF6E23" w:rsidRPr="00BF77A7" w:rsidRDefault="00FF6E23" w:rsidP="00FF6E23">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Pr>
          <w:sz w:val="18"/>
          <w:szCs w:val="18"/>
          <w:lang w:val="nb-NO"/>
        </w:rPr>
        <w:t>arima.diah.s@ugm.ac.id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EF6E" w14:textId="77777777" w:rsidR="00FF6E23" w:rsidRDefault="00FF6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907C" w14:textId="77777777" w:rsidR="00FF6E23" w:rsidRDefault="00FF6E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805B" w14:textId="77777777" w:rsidR="00FF6E23" w:rsidRDefault="00FF6E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23"/>
    <w:rsid w:val="00104E98"/>
    <w:rsid w:val="00797197"/>
    <w:rsid w:val="009D2FE2"/>
    <w:rsid w:val="00D56B6E"/>
    <w:rsid w:val="00F72AC9"/>
    <w:rsid w:val="00FF6E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769C"/>
  <w15:chartTrackingRefBased/>
  <w15:docId w15:val="{3D0B2333-B386-4665-81ED-544F4C51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E23"/>
    <w:pPr>
      <w:spacing w:line="259" w:lineRule="auto"/>
    </w:pPr>
    <w:rPr>
      <w:kern w:val="0"/>
      <w:sz w:val="22"/>
      <w:szCs w:val="22"/>
      <w:lang w:val="nb-NO"/>
      <w14:ligatures w14:val="none"/>
    </w:rPr>
  </w:style>
  <w:style w:type="paragraph" w:styleId="Heading1">
    <w:name w:val="heading 1"/>
    <w:basedOn w:val="Normal"/>
    <w:next w:val="Normal"/>
    <w:link w:val="Heading1Char"/>
    <w:uiPriority w:val="9"/>
    <w:qFormat/>
    <w:rsid w:val="00FF6E2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FF6E2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FF6E23"/>
    <w:pPr>
      <w:keepNext/>
      <w:keepLines/>
      <w:spacing w:before="160" w:after="80" w:line="278" w:lineRule="auto"/>
      <w:outlineLvl w:val="2"/>
    </w:pPr>
    <w:rPr>
      <w:rFonts w:eastAsiaTheme="majorEastAsia"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FF6E23"/>
    <w:pPr>
      <w:keepNext/>
      <w:keepLines/>
      <w:spacing w:before="80" w:after="40" w:line="278" w:lineRule="auto"/>
      <w:outlineLvl w:val="3"/>
    </w:pPr>
    <w:rPr>
      <w:rFonts w:eastAsiaTheme="majorEastAsia" w:cstheme="majorBidi"/>
      <w:i/>
      <w:iCs/>
      <w:color w:val="2F5496" w:themeColor="accent1" w:themeShade="BF"/>
      <w:kern w:val="2"/>
      <w:sz w:val="24"/>
      <w:szCs w:val="24"/>
      <w:lang w:val="en-ID"/>
      <w14:ligatures w14:val="standardContextual"/>
    </w:rPr>
  </w:style>
  <w:style w:type="paragraph" w:styleId="Heading5">
    <w:name w:val="heading 5"/>
    <w:basedOn w:val="Normal"/>
    <w:next w:val="Normal"/>
    <w:link w:val="Heading5Char"/>
    <w:uiPriority w:val="9"/>
    <w:semiHidden/>
    <w:unhideWhenUsed/>
    <w:qFormat/>
    <w:rsid w:val="00FF6E23"/>
    <w:pPr>
      <w:keepNext/>
      <w:keepLines/>
      <w:spacing w:before="80" w:after="40" w:line="278" w:lineRule="auto"/>
      <w:outlineLvl w:val="4"/>
    </w:pPr>
    <w:rPr>
      <w:rFonts w:eastAsiaTheme="majorEastAsia" w:cstheme="majorBidi"/>
      <w:color w:val="2F5496" w:themeColor="accent1" w:themeShade="BF"/>
      <w:kern w:val="2"/>
      <w:sz w:val="24"/>
      <w:szCs w:val="24"/>
      <w:lang w:val="en-ID"/>
      <w14:ligatures w14:val="standardContextual"/>
    </w:rPr>
  </w:style>
  <w:style w:type="paragraph" w:styleId="Heading6">
    <w:name w:val="heading 6"/>
    <w:basedOn w:val="Normal"/>
    <w:next w:val="Normal"/>
    <w:link w:val="Heading6Char"/>
    <w:uiPriority w:val="9"/>
    <w:semiHidden/>
    <w:unhideWhenUsed/>
    <w:qFormat/>
    <w:rsid w:val="00FF6E23"/>
    <w:pPr>
      <w:keepNext/>
      <w:keepLines/>
      <w:spacing w:before="40" w:after="0" w:line="278" w:lineRule="auto"/>
      <w:outlineLvl w:val="5"/>
    </w:pPr>
    <w:rPr>
      <w:rFonts w:eastAsiaTheme="majorEastAsia"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FF6E23"/>
    <w:pPr>
      <w:keepNext/>
      <w:keepLines/>
      <w:spacing w:before="40" w:after="0" w:line="278" w:lineRule="auto"/>
      <w:outlineLvl w:val="6"/>
    </w:pPr>
    <w:rPr>
      <w:rFonts w:eastAsiaTheme="majorEastAsia"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FF6E23"/>
    <w:pPr>
      <w:keepNext/>
      <w:keepLines/>
      <w:spacing w:after="0" w:line="278" w:lineRule="auto"/>
      <w:outlineLvl w:val="7"/>
    </w:pPr>
    <w:rPr>
      <w:rFonts w:eastAsiaTheme="majorEastAsia"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FF6E23"/>
    <w:pPr>
      <w:keepNext/>
      <w:keepLines/>
      <w:spacing w:after="0" w:line="278" w:lineRule="auto"/>
      <w:outlineLvl w:val="8"/>
    </w:pPr>
    <w:rPr>
      <w:rFonts w:eastAsiaTheme="majorEastAsia"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E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E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6E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E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E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E23"/>
    <w:rPr>
      <w:rFonts w:eastAsiaTheme="majorEastAsia" w:cstheme="majorBidi"/>
      <w:color w:val="272727" w:themeColor="text1" w:themeTint="D8"/>
    </w:rPr>
  </w:style>
  <w:style w:type="paragraph" w:styleId="Title">
    <w:name w:val="Title"/>
    <w:basedOn w:val="Normal"/>
    <w:next w:val="Normal"/>
    <w:link w:val="TitleChar"/>
    <w:uiPriority w:val="10"/>
    <w:qFormat/>
    <w:rsid w:val="00FF6E23"/>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FF6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E23"/>
    <w:pPr>
      <w:numPr>
        <w:ilvl w:val="1"/>
      </w:numPr>
      <w:spacing w:line="278" w:lineRule="auto"/>
    </w:pPr>
    <w:rPr>
      <w:rFonts w:eastAsiaTheme="majorEastAsia"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FF6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E23"/>
    <w:pPr>
      <w:spacing w:before="160" w:line="278" w:lineRule="auto"/>
      <w:jc w:val="center"/>
    </w:pPr>
    <w:rPr>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FF6E23"/>
    <w:rPr>
      <w:i/>
      <w:iCs/>
      <w:color w:val="404040" w:themeColor="text1" w:themeTint="BF"/>
    </w:rPr>
  </w:style>
  <w:style w:type="paragraph" w:styleId="ListParagraph">
    <w:name w:val="List Paragraph"/>
    <w:basedOn w:val="Normal"/>
    <w:uiPriority w:val="34"/>
    <w:qFormat/>
    <w:rsid w:val="00FF6E23"/>
    <w:pPr>
      <w:spacing w:line="278" w:lineRule="auto"/>
      <w:ind w:left="720"/>
      <w:contextualSpacing/>
    </w:pPr>
    <w:rPr>
      <w:kern w:val="2"/>
      <w:sz w:val="24"/>
      <w:szCs w:val="24"/>
      <w:lang w:val="en-ID"/>
      <w14:ligatures w14:val="standardContextual"/>
    </w:rPr>
  </w:style>
  <w:style w:type="character" w:styleId="IntenseEmphasis">
    <w:name w:val="Intense Emphasis"/>
    <w:basedOn w:val="DefaultParagraphFont"/>
    <w:uiPriority w:val="21"/>
    <w:qFormat/>
    <w:rsid w:val="00FF6E23"/>
    <w:rPr>
      <w:i/>
      <w:iCs/>
      <w:color w:val="2F5496" w:themeColor="accent1" w:themeShade="BF"/>
    </w:rPr>
  </w:style>
  <w:style w:type="paragraph" w:styleId="IntenseQuote">
    <w:name w:val="Intense Quote"/>
    <w:basedOn w:val="Normal"/>
    <w:next w:val="Normal"/>
    <w:link w:val="IntenseQuoteChar"/>
    <w:uiPriority w:val="30"/>
    <w:qFormat/>
    <w:rsid w:val="00FF6E2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FF6E23"/>
    <w:rPr>
      <w:i/>
      <w:iCs/>
      <w:color w:val="2F5496" w:themeColor="accent1" w:themeShade="BF"/>
    </w:rPr>
  </w:style>
  <w:style w:type="character" w:styleId="IntenseReference">
    <w:name w:val="Intense Reference"/>
    <w:basedOn w:val="DefaultParagraphFont"/>
    <w:uiPriority w:val="32"/>
    <w:qFormat/>
    <w:rsid w:val="00FF6E23"/>
    <w:rPr>
      <w:b/>
      <w:bCs/>
      <w:smallCaps/>
      <w:color w:val="2F5496" w:themeColor="accent1" w:themeShade="BF"/>
      <w:spacing w:val="5"/>
    </w:rPr>
  </w:style>
  <w:style w:type="paragraph" w:customStyle="1" w:styleId="Els-Abstract-head">
    <w:name w:val="Els-Abstract-head"/>
    <w:next w:val="Normal"/>
    <w:rsid w:val="00FF6E23"/>
    <w:pPr>
      <w:keepNext/>
      <w:pBdr>
        <w:top w:val="single" w:sz="4" w:space="10" w:color="auto"/>
      </w:pBdr>
      <w:suppressAutoHyphens/>
      <w:spacing w:after="220" w:line="220" w:lineRule="exact"/>
    </w:pPr>
    <w:rPr>
      <w:rFonts w:ascii="Times New Roman" w:eastAsia="SimSun" w:hAnsi="Times New Roman" w:cs="Times New Roman"/>
      <w:b/>
      <w:kern w:val="0"/>
      <w:sz w:val="18"/>
      <w:szCs w:val="20"/>
      <w:lang w:val="en-US"/>
      <w14:ligatures w14:val="none"/>
    </w:rPr>
  </w:style>
  <w:style w:type="paragraph" w:customStyle="1" w:styleId="Els-Affiliation">
    <w:name w:val="Els-Affiliation"/>
    <w:next w:val="Els-Abstract-head"/>
    <w:rsid w:val="00FF6E23"/>
    <w:pPr>
      <w:suppressAutoHyphens/>
      <w:spacing w:after="0" w:line="200" w:lineRule="exact"/>
      <w:jc w:val="center"/>
    </w:pPr>
    <w:rPr>
      <w:rFonts w:ascii="Times New Roman" w:eastAsia="SimSun" w:hAnsi="Times New Roman" w:cs="Times New Roman"/>
      <w:i/>
      <w:noProof/>
      <w:kern w:val="0"/>
      <w:sz w:val="16"/>
      <w:szCs w:val="20"/>
      <w:lang w:val="en-US"/>
      <w14:ligatures w14:val="none"/>
    </w:rPr>
  </w:style>
  <w:style w:type="paragraph" w:customStyle="1" w:styleId="Els-Author">
    <w:name w:val="Els-Author"/>
    <w:next w:val="Normal"/>
    <w:rsid w:val="00FF6E23"/>
    <w:pPr>
      <w:keepNext/>
      <w:suppressAutoHyphens/>
      <w:spacing w:line="300" w:lineRule="exact"/>
      <w:jc w:val="center"/>
    </w:pPr>
    <w:rPr>
      <w:rFonts w:ascii="Times New Roman" w:eastAsia="SimSun" w:hAnsi="Times New Roman" w:cs="Times New Roman"/>
      <w:noProof/>
      <w:kern w:val="0"/>
      <w:sz w:val="26"/>
      <w:szCs w:val="20"/>
      <w:lang w:val="en-US"/>
      <w14:ligatures w14:val="none"/>
    </w:rPr>
  </w:style>
  <w:style w:type="paragraph" w:customStyle="1" w:styleId="Els-footnote">
    <w:name w:val="Els-footnote"/>
    <w:rsid w:val="00FF6E23"/>
    <w:pPr>
      <w:keepLines/>
      <w:widowControl w:val="0"/>
      <w:spacing w:after="0" w:line="200" w:lineRule="exact"/>
      <w:ind w:firstLine="245"/>
      <w:jc w:val="both"/>
    </w:pPr>
    <w:rPr>
      <w:rFonts w:ascii="Times New Roman" w:eastAsia="SimSun" w:hAnsi="Times New Roman" w:cs="Times New Roman"/>
      <w:kern w:val="0"/>
      <w:sz w:val="16"/>
      <w:szCs w:val="20"/>
      <w:lang w:val="en-US"/>
      <w14:ligatures w14:val="none"/>
    </w:rPr>
  </w:style>
  <w:style w:type="paragraph" w:customStyle="1" w:styleId="Els-Title">
    <w:name w:val="Els-Title"/>
    <w:next w:val="Els-Author"/>
    <w:autoRedefine/>
    <w:rsid w:val="00FF6E23"/>
    <w:pPr>
      <w:suppressAutoHyphens/>
      <w:spacing w:after="240" w:line="400" w:lineRule="exact"/>
      <w:jc w:val="center"/>
    </w:pPr>
    <w:rPr>
      <w:rFonts w:ascii="Times New Roman" w:eastAsia="SimSun" w:hAnsi="Times New Roman" w:cs="Times New Roman"/>
      <w:kern w:val="0"/>
      <w:sz w:val="32"/>
      <w:szCs w:val="32"/>
      <w:lang w:val="en-US"/>
      <w14:ligatures w14:val="none"/>
    </w:rPr>
  </w:style>
  <w:style w:type="paragraph" w:customStyle="1" w:styleId="DocHead">
    <w:name w:val="DocHead"/>
    <w:rsid w:val="00FF6E23"/>
    <w:pPr>
      <w:spacing w:before="240" w:after="240" w:line="240" w:lineRule="auto"/>
      <w:jc w:val="center"/>
    </w:pPr>
    <w:rPr>
      <w:rFonts w:ascii="Times New Roman" w:eastAsia="SimSun" w:hAnsi="Times New Roman" w:cs="Times New Roman"/>
      <w:kern w:val="0"/>
      <w:szCs w:val="20"/>
      <w:lang w:val="en-US"/>
      <w14:ligatures w14:val="none"/>
    </w:rPr>
  </w:style>
  <w:style w:type="paragraph" w:customStyle="1" w:styleId="Els-keywords">
    <w:name w:val="Els-keywords"/>
    <w:next w:val="Normal"/>
    <w:rsid w:val="00FF6E23"/>
    <w:pPr>
      <w:pBdr>
        <w:bottom w:val="single" w:sz="4" w:space="10" w:color="auto"/>
      </w:pBdr>
      <w:spacing w:after="200" w:line="200" w:lineRule="exact"/>
    </w:pPr>
    <w:rPr>
      <w:rFonts w:ascii="Times New Roman" w:eastAsia="SimSun" w:hAnsi="Times New Roman" w:cs="Times New Roman"/>
      <w:noProof/>
      <w:kern w:val="0"/>
      <w:sz w:val="16"/>
      <w:szCs w:val="20"/>
      <w:lang w:val="en-US"/>
      <w14:ligatures w14:val="none"/>
    </w:rPr>
  </w:style>
  <w:style w:type="paragraph" w:styleId="Header">
    <w:name w:val="header"/>
    <w:basedOn w:val="Normal"/>
    <w:link w:val="HeaderChar"/>
    <w:uiPriority w:val="99"/>
    <w:unhideWhenUsed/>
    <w:rsid w:val="00FF6E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E23"/>
    <w:rPr>
      <w:kern w:val="0"/>
      <w:sz w:val="22"/>
      <w:szCs w:val="22"/>
      <w:lang w:val="nb-NO"/>
      <w14:ligatures w14:val="none"/>
    </w:rPr>
  </w:style>
  <w:style w:type="paragraph" w:styleId="Footer">
    <w:name w:val="footer"/>
    <w:basedOn w:val="Normal"/>
    <w:link w:val="FooterChar"/>
    <w:uiPriority w:val="99"/>
    <w:unhideWhenUsed/>
    <w:rsid w:val="00FF6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E23"/>
    <w:rPr>
      <w:kern w:val="0"/>
      <w:sz w:val="22"/>
      <w:szCs w:val="22"/>
      <w:lang w:val="nb-NO"/>
      <w14:ligatures w14:val="none"/>
    </w:rPr>
  </w:style>
  <w:style w:type="character" w:styleId="CommentReference">
    <w:name w:val="annotation reference"/>
    <w:basedOn w:val="DefaultParagraphFont"/>
    <w:uiPriority w:val="99"/>
    <w:semiHidden/>
    <w:unhideWhenUsed/>
    <w:rsid w:val="00FF6E23"/>
    <w:rPr>
      <w:sz w:val="16"/>
      <w:szCs w:val="16"/>
    </w:rPr>
  </w:style>
  <w:style w:type="paragraph" w:styleId="CommentText">
    <w:name w:val="annotation text"/>
    <w:basedOn w:val="Normal"/>
    <w:link w:val="CommentTextChar"/>
    <w:uiPriority w:val="99"/>
    <w:unhideWhenUsed/>
    <w:rsid w:val="00FF6E23"/>
    <w:pPr>
      <w:spacing w:line="240" w:lineRule="auto"/>
    </w:pPr>
    <w:rPr>
      <w:sz w:val="20"/>
      <w:szCs w:val="20"/>
    </w:rPr>
  </w:style>
  <w:style w:type="character" w:customStyle="1" w:styleId="CommentTextChar">
    <w:name w:val="Comment Text Char"/>
    <w:basedOn w:val="DefaultParagraphFont"/>
    <w:link w:val="CommentText"/>
    <w:uiPriority w:val="99"/>
    <w:rsid w:val="00FF6E23"/>
    <w:rPr>
      <w:kern w:val="0"/>
      <w:sz w:val="20"/>
      <w:szCs w:val="20"/>
      <w:lang w:val="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3090</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dc:creator>
  <cp:keywords/>
  <dc:description/>
  <cp:lastModifiedBy>anonim</cp:lastModifiedBy>
  <cp:revision>2</cp:revision>
  <dcterms:created xsi:type="dcterms:W3CDTF">2026-05-11T02:00:00Z</dcterms:created>
  <dcterms:modified xsi:type="dcterms:W3CDTF">2026-05-11T02:07:00Z</dcterms:modified>
</cp:coreProperties>
</file>