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863A8" w14:textId="2241AF55" w:rsidR="00662829" w:rsidRDefault="00662829" w:rsidP="00697A06">
      <w:pPr>
        <w:rPr>
          <w:b/>
          <w:bCs/>
        </w:rPr>
      </w:pPr>
      <w:r w:rsidRPr="00662829">
        <w:rPr>
          <w:b/>
          <w:bCs/>
        </w:rPr>
        <w:t xml:space="preserve">Unlocking Market Access for Future Foods in Asia Pacific: In-Depth Insights into China’s Novel Food Approval System and </w:t>
      </w:r>
      <w:r w:rsidR="00D66471">
        <w:rPr>
          <w:b/>
          <w:bCs/>
        </w:rPr>
        <w:t>Beyond</w:t>
      </w:r>
    </w:p>
    <w:p w14:paraId="5C761C61" w14:textId="776B0414" w:rsidR="00697A06" w:rsidRPr="00697A06" w:rsidRDefault="00697A06" w:rsidP="00697A06">
      <w:r w:rsidRPr="00697A06">
        <w:rPr>
          <w:b/>
          <w:bCs/>
        </w:rPr>
        <w:t>Jenny Xin Li</w:t>
      </w:r>
      <w:r w:rsidRPr="00697A06">
        <w:t xml:space="preserve"> Keller and Heckman LLP, Shanghai, China</w:t>
      </w:r>
    </w:p>
    <w:p w14:paraId="58AEB1A9" w14:textId="77777777" w:rsidR="00D96D51" w:rsidRPr="00D96D51" w:rsidRDefault="00D96D51" w:rsidP="00D96D51">
      <w:r w:rsidRPr="00D96D51">
        <w:t>The Asia-Pacific region is a dynamic hub for future food innovation, particularly in sustainable proteins, cellular agriculture, and precision fermentation technologies. As companies race to commercialize cultured meat, plant-based alternatives, and fermentation-derived ingredients, understanding and successfully navigating complex novel food approval systems is critical for timely market entry and regional scalability.</w:t>
      </w:r>
    </w:p>
    <w:p w14:paraId="40E2803A" w14:textId="613A1EE2" w:rsidR="00D96D51" w:rsidRPr="00D96D51" w:rsidRDefault="00D96D51" w:rsidP="00D96D51">
      <w:r w:rsidRPr="00D96D51">
        <w:t xml:space="preserve">China, as the region’s largest and most strategically important market, operates a rigorous yet evolving pre-market approval framework for novel foods and ingredients. Overseen by the National Health Commission (NHC) and State Administration for Market Regulation (SAMR), the system demands comprehensive safety assessments, detailed toxicological data, and alignment with </w:t>
      </w:r>
      <w:r w:rsidR="0084208A">
        <w:t>the national</w:t>
      </w:r>
      <w:r w:rsidRPr="00D96D51">
        <w:t xml:space="preserve"> standards. Recent approvals of mycoprotein and other fermentation-derived products, alongside </w:t>
      </w:r>
      <w:r w:rsidR="0084208A">
        <w:t>policy support for alternative proteins</w:t>
      </w:r>
      <w:r w:rsidRPr="00D96D51">
        <w:t>, demonstrate China’s commitment to balancing food security, innovation, and consumer safety.</w:t>
      </w:r>
    </w:p>
    <w:p w14:paraId="4C5E171F" w14:textId="5FAE3B5E" w:rsidR="00D96D51" w:rsidRPr="00D96D51" w:rsidRDefault="00D96D51" w:rsidP="00D96D51">
      <w:r w:rsidRPr="00D96D51">
        <w:t xml:space="preserve">This presentation provides a practical, in-depth examination of China’s novel food regulatory pathway — including data requirements, approval timelines, dossier preparation strategies, and post-approval obligations — while offering comparative perspectives on key </w:t>
      </w:r>
      <w:r w:rsidR="008B5569">
        <w:t>Asian</w:t>
      </w:r>
      <w:r w:rsidRPr="00D96D51">
        <w:t xml:space="preserve"> markets and broader Asia-Pacific approaches. Attendees will gain actionable insights on bridging regulatory </w:t>
      </w:r>
      <w:proofErr w:type="gramStart"/>
      <w:r w:rsidRPr="00D96D51">
        <w:t>gaps, and</w:t>
      </w:r>
      <w:proofErr w:type="gramEnd"/>
      <w:r w:rsidRPr="00D96D51">
        <w:t xml:space="preserve"> developing efficient multi-market entry strategies tailored to alternative proteins and cellular agriculture products</w:t>
      </w:r>
      <w:r w:rsidR="00286529">
        <w:t xml:space="preserve"> as well as other novel ingredients</w:t>
      </w:r>
      <w:r w:rsidRPr="00D96D51">
        <w:t>.</w:t>
      </w:r>
    </w:p>
    <w:p w14:paraId="50A9E93C" w14:textId="77777777" w:rsidR="00D96D51" w:rsidRPr="00D96D51" w:rsidRDefault="00D96D51" w:rsidP="00D96D51">
      <w:r w:rsidRPr="00D96D51">
        <w:t>Drawing on extensive hands-on experience advising multinational clients on APAC food regulatory matters — from novel ingredient approvals and import/export compliance to labeling and post-market surveillance — this session equips researchers, innovators, and industry leaders with the regulatory clarity needed to accelerate commercialization of future foods across the region. Participants will leave better prepared to address real-world compliance challenges and capitalize on Asia Pacific’s immense growth opportunities in sustainable protein innovation.</w:t>
      </w:r>
    </w:p>
    <w:p w14:paraId="21658EFF" w14:textId="4B0ADF59" w:rsidR="00D96D51" w:rsidRPr="00D96D51" w:rsidRDefault="00D96D51" w:rsidP="00D96D51">
      <w:r w:rsidRPr="00D96D51">
        <w:rPr>
          <w:b/>
          <w:bCs/>
        </w:rPr>
        <w:t>Keywords:</w:t>
      </w:r>
      <w:r w:rsidRPr="00D96D51">
        <w:t xml:space="preserve"> Novel foods, China food regulation, cellular agriculture, cultured meat, alternative proteins, </w:t>
      </w:r>
      <w:r w:rsidR="003A776B">
        <w:t>future foods</w:t>
      </w:r>
      <w:r w:rsidRPr="00D96D51">
        <w:t>, APAC market access</w:t>
      </w:r>
    </w:p>
    <w:p w14:paraId="1DCC4C01" w14:textId="77777777" w:rsidR="0032676E" w:rsidRDefault="0032676E"/>
    <w:sectPr w:rsidR="0032676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D30CA" w14:textId="77777777" w:rsidR="00662829" w:rsidRDefault="00662829" w:rsidP="00662829">
      <w:pPr>
        <w:spacing w:after="0" w:line="240" w:lineRule="auto"/>
      </w:pPr>
      <w:r>
        <w:separator/>
      </w:r>
    </w:p>
  </w:endnote>
  <w:endnote w:type="continuationSeparator" w:id="0">
    <w:p w14:paraId="06DA0470" w14:textId="77777777" w:rsidR="00662829" w:rsidRDefault="00662829" w:rsidP="00662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E1BD" w14:textId="77777777" w:rsidR="00662829" w:rsidRDefault="00662829" w:rsidP="00662829">
      <w:pPr>
        <w:spacing w:after="0" w:line="240" w:lineRule="auto"/>
      </w:pPr>
      <w:r>
        <w:separator/>
      </w:r>
    </w:p>
  </w:footnote>
  <w:footnote w:type="continuationSeparator" w:id="0">
    <w:p w14:paraId="5C72EF78" w14:textId="77777777" w:rsidR="00662829" w:rsidRDefault="00662829" w:rsidP="006628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06"/>
    <w:rsid w:val="0010730F"/>
    <w:rsid w:val="001C27B9"/>
    <w:rsid w:val="00286529"/>
    <w:rsid w:val="003050AD"/>
    <w:rsid w:val="0032676E"/>
    <w:rsid w:val="003A776B"/>
    <w:rsid w:val="00421E74"/>
    <w:rsid w:val="004A2014"/>
    <w:rsid w:val="00662829"/>
    <w:rsid w:val="00697A06"/>
    <w:rsid w:val="0084208A"/>
    <w:rsid w:val="008B5569"/>
    <w:rsid w:val="00C063D5"/>
    <w:rsid w:val="00D66471"/>
    <w:rsid w:val="00D96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6B0D96"/>
  <w15:chartTrackingRefBased/>
  <w15:docId w15:val="{D754D76A-5F79-48B7-B2CA-EA8B2207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7A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7A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7A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7A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7A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7A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A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A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A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A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7A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7A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7A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7A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7A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A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A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A06"/>
    <w:rPr>
      <w:rFonts w:eastAsiaTheme="majorEastAsia" w:cstheme="majorBidi"/>
      <w:color w:val="272727" w:themeColor="text1" w:themeTint="D8"/>
    </w:rPr>
  </w:style>
  <w:style w:type="paragraph" w:styleId="Title">
    <w:name w:val="Title"/>
    <w:basedOn w:val="Normal"/>
    <w:next w:val="Normal"/>
    <w:link w:val="TitleChar"/>
    <w:uiPriority w:val="10"/>
    <w:qFormat/>
    <w:rsid w:val="00697A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A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A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A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A06"/>
    <w:pPr>
      <w:spacing w:before="160"/>
      <w:jc w:val="center"/>
    </w:pPr>
    <w:rPr>
      <w:i/>
      <w:iCs/>
      <w:color w:val="404040" w:themeColor="text1" w:themeTint="BF"/>
    </w:rPr>
  </w:style>
  <w:style w:type="character" w:customStyle="1" w:styleId="QuoteChar">
    <w:name w:val="Quote Char"/>
    <w:basedOn w:val="DefaultParagraphFont"/>
    <w:link w:val="Quote"/>
    <w:uiPriority w:val="29"/>
    <w:rsid w:val="00697A06"/>
    <w:rPr>
      <w:i/>
      <w:iCs/>
      <w:color w:val="404040" w:themeColor="text1" w:themeTint="BF"/>
    </w:rPr>
  </w:style>
  <w:style w:type="paragraph" w:styleId="ListParagraph">
    <w:name w:val="List Paragraph"/>
    <w:basedOn w:val="Normal"/>
    <w:uiPriority w:val="34"/>
    <w:qFormat/>
    <w:rsid w:val="00697A06"/>
    <w:pPr>
      <w:ind w:left="720"/>
      <w:contextualSpacing/>
    </w:pPr>
  </w:style>
  <w:style w:type="character" w:styleId="IntenseEmphasis">
    <w:name w:val="Intense Emphasis"/>
    <w:basedOn w:val="DefaultParagraphFont"/>
    <w:uiPriority w:val="21"/>
    <w:qFormat/>
    <w:rsid w:val="00697A06"/>
    <w:rPr>
      <w:i/>
      <w:iCs/>
      <w:color w:val="0F4761" w:themeColor="accent1" w:themeShade="BF"/>
    </w:rPr>
  </w:style>
  <w:style w:type="paragraph" w:styleId="IntenseQuote">
    <w:name w:val="Intense Quote"/>
    <w:basedOn w:val="Normal"/>
    <w:next w:val="Normal"/>
    <w:link w:val="IntenseQuoteChar"/>
    <w:uiPriority w:val="30"/>
    <w:qFormat/>
    <w:rsid w:val="00697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7A06"/>
    <w:rPr>
      <w:i/>
      <w:iCs/>
      <w:color w:val="0F4761" w:themeColor="accent1" w:themeShade="BF"/>
    </w:rPr>
  </w:style>
  <w:style w:type="character" w:styleId="IntenseReference">
    <w:name w:val="Intense Reference"/>
    <w:basedOn w:val="DefaultParagraphFont"/>
    <w:uiPriority w:val="32"/>
    <w:qFormat/>
    <w:rsid w:val="00697A06"/>
    <w:rPr>
      <w:b/>
      <w:bCs/>
      <w:smallCaps/>
      <w:color w:val="0F4761" w:themeColor="accent1" w:themeShade="BF"/>
      <w:spacing w:val="5"/>
    </w:rPr>
  </w:style>
  <w:style w:type="paragraph" w:styleId="Header">
    <w:name w:val="header"/>
    <w:basedOn w:val="Normal"/>
    <w:link w:val="HeaderChar"/>
    <w:uiPriority w:val="99"/>
    <w:unhideWhenUsed/>
    <w:rsid w:val="006628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829"/>
  </w:style>
  <w:style w:type="paragraph" w:styleId="Footer">
    <w:name w:val="footer"/>
    <w:basedOn w:val="Normal"/>
    <w:link w:val="FooterChar"/>
    <w:uiPriority w:val="99"/>
    <w:unhideWhenUsed/>
    <w:rsid w:val="006628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049437">
      <w:bodyDiv w:val="1"/>
      <w:marLeft w:val="0"/>
      <w:marRight w:val="0"/>
      <w:marTop w:val="0"/>
      <w:marBottom w:val="0"/>
      <w:divBdr>
        <w:top w:val="none" w:sz="0" w:space="0" w:color="auto"/>
        <w:left w:val="none" w:sz="0" w:space="0" w:color="auto"/>
        <w:bottom w:val="none" w:sz="0" w:space="0" w:color="auto"/>
        <w:right w:val="none" w:sz="0" w:space="0" w:color="auto"/>
      </w:divBdr>
    </w:div>
    <w:div w:id="1133249168">
      <w:bodyDiv w:val="1"/>
      <w:marLeft w:val="0"/>
      <w:marRight w:val="0"/>
      <w:marTop w:val="0"/>
      <w:marBottom w:val="0"/>
      <w:divBdr>
        <w:top w:val="none" w:sz="0" w:space="0" w:color="auto"/>
        <w:left w:val="none" w:sz="0" w:space="0" w:color="auto"/>
        <w:bottom w:val="none" w:sz="0" w:space="0" w:color="auto"/>
        <w:right w:val="none" w:sz="0" w:space="0" w:color="auto"/>
      </w:divBdr>
    </w:div>
    <w:div w:id="118339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872cf3e-af21-41b2-9541-9c296fd929b5}" enabled="0" method="" siteId="{1872cf3e-af21-41b2-9541-9c296fd929b5}"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366</Words>
  <Characters>2091</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Jenny Xin</dc:creator>
  <cp:keywords/>
  <dc:description/>
  <cp:lastModifiedBy>Li, Jenny Xin</cp:lastModifiedBy>
  <cp:revision>3</cp:revision>
  <dcterms:created xsi:type="dcterms:W3CDTF">2026-05-11T07:32:00Z</dcterms:created>
  <dcterms:modified xsi:type="dcterms:W3CDTF">2026-05-11T07:33:00Z</dcterms:modified>
</cp:coreProperties>
</file>