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56A75">
      <w:pPr>
        <w:pStyle w:val="12"/>
        <w:spacing w:before="0" w:after="0"/>
        <w:ind w:left="-119" w:right="-136" w:firstLine="119"/>
      </w:pPr>
      <w:r>
        <w:t>SIFF 2026</w:t>
      </w:r>
    </w:p>
    <w:p w14:paraId="2641CBEB">
      <w:pPr>
        <w:pStyle w:val="12"/>
        <w:spacing w:before="0" w:after="0"/>
        <w:ind w:left="-119" w:right="-136" w:firstLine="119"/>
      </w:pPr>
      <w:r>
        <w:t>Singapore International Food Forum 2026</w:t>
      </w:r>
      <w:r>
        <w:br w:type="textWrapping"/>
      </w:r>
    </w:p>
    <w:p w14:paraId="4538BFCD">
      <w:pPr>
        <w:pStyle w:val="11"/>
      </w:pPr>
      <w:r>
        <w:rPr>
          <w:rFonts w:hint="default" w:ascii="Times New Roman" w:hAnsi="Times New Roman" w:cs="Times New Roman"/>
        </w:rPr>
        <w:t>Impact of Citrus Pectin on Gut Microbiota Metabolism Dysbiosis Induced by Transient Alternating High-Fat Diet</w:t>
      </w:r>
    </w:p>
    <w:p w14:paraId="1BFADAFA">
      <w:pPr>
        <w:pStyle w:val="9"/>
        <w:ind w:right="2"/>
      </w:pPr>
      <w:r>
        <w:rPr>
          <w:rFonts w:hint="eastAsia"/>
          <w:sz w:val="24"/>
          <w:szCs w:val="24"/>
          <w:lang w:val="en-US" w:eastAsia="zh-CN"/>
        </w:rPr>
        <w:t>Chenxi</w:t>
      </w:r>
      <w:r>
        <w:rPr>
          <w:rFonts w:hint="eastAsia"/>
          <w:sz w:val="24"/>
          <w:szCs w:val="24"/>
          <w:lang w:val="nb-NO"/>
        </w:rPr>
        <w:t xml:space="preserve"> Zha</w:t>
      </w:r>
      <w:r>
        <w:rPr>
          <w:rFonts w:hint="eastAsia"/>
          <w:sz w:val="24"/>
          <w:szCs w:val="24"/>
          <w:lang w:val="en-US" w:eastAsia="zh-CN"/>
        </w:rPr>
        <w:t>o</w:t>
      </w:r>
      <w:r>
        <w:rPr>
          <w:sz w:val="24"/>
          <w:szCs w:val="24"/>
          <w:vertAlign w:val="superscript"/>
          <w:lang w:val="nb-NO"/>
        </w:rPr>
        <w:t>a</w:t>
      </w:r>
      <w:r>
        <w:rPr>
          <w:sz w:val="24"/>
          <w:szCs w:val="24"/>
          <w:vertAlign w:val="superscript"/>
        </w:rPr>
        <w:footnoteReference w:id="0"/>
      </w:r>
      <w:r>
        <w:rPr>
          <w:sz w:val="24"/>
          <w:szCs w:val="24"/>
          <w:lang w:val="nb-NO"/>
        </w:rPr>
        <w:t xml:space="preserve">, </w:t>
      </w:r>
      <w:r>
        <w:rPr>
          <w:rFonts w:hint="eastAsia"/>
          <w:sz w:val="24"/>
          <w:szCs w:val="24"/>
          <w:lang w:val="nb-NO"/>
        </w:rPr>
        <w:t xml:space="preserve"> Hang Xiao</w:t>
      </w:r>
      <w:r>
        <w:rPr>
          <w:sz w:val="24"/>
          <w:szCs w:val="24"/>
          <w:vertAlign w:val="superscript"/>
          <w:lang w:val="nb-NO"/>
        </w:rPr>
        <w:t>a</w:t>
      </w:r>
      <w:r>
        <w:rPr>
          <w:rFonts w:hint="eastAsia"/>
          <w:sz w:val="24"/>
          <w:szCs w:val="24"/>
          <w:vertAlign w:val="superscript"/>
          <w:lang w:val="en-US" w:eastAsia="zh-CN"/>
        </w:rPr>
        <w:t>,</w:t>
      </w:r>
      <w:r>
        <w:rPr>
          <w:sz w:val="24"/>
          <w:szCs w:val="24"/>
          <w:vertAlign w:val="superscript"/>
          <w:lang w:val="nb-NO"/>
        </w:rPr>
        <w:t>b</w:t>
      </w:r>
    </w:p>
    <w:p w14:paraId="5342D5C1">
      <w:pPr>
        <w:pStyle w:val="9"/>
        <w:ind w:right="2"/>
        <w:rPr>
          <w:sz w:val="28"/>
          <w:szCs w:val="28"/>
        </w:rPr>
        <w:sectPr>
          <w:headerReference r:id="rId7" w:type="first"/>
          <w:footerReference r:id="rId10" w:type="first"/>
          <w:headerReference r:id="rId5" w:type="default"/>
          <w:footerReference r:id="rId8" w:type="default"/>
          <w:headerReference r:id="rId6" w:type="even"/>
          <w:footerReference r:id="rId9" w:type="even"/>
          <w:footnotePr>
            <w:numFmt w:val="chicago"/>
          </w:footnotePr>
          <w:type w:val="continuous"/>
          <w:pgSz w:w="11906" w:h="16838"/>
          <w:pgMar w:top="1440" w:right="1440" w:bottom="1440" w:left="1440" w:header="708" w:footer="708" w:gutter="0"/>
          <w:cols w:space="708" w:num="1"/>
          <w:docGrid w:linePitch="360" w:charSpace="0"/>
        </w:sectPr>
      </w:pPr>
    </w:p>
    <w:p w14:paraId="652CE03F">
      <w:pPr>
        <w:pStyle w:val="8"/>
        <w:rPr>
          <w:iCs/>
        </w:rPr>
      </w:pPr>
      <w:r>
        <w:rPr>
          <w:vertAlign w:val="superscript"/>
          <w:lang w:val="nb-NO"/>
        </w:rPr>
        <w:t>a</w:t>
      </w:r>
      <w:r>
        <w:rPr>
          <w:lang w:val="nb-NO"/>
        </w:rPr>
        <w:t xml:space="preserve"> </w:t>
      </w:r>
      <w:r>
        <w:rPr>
          <w:rFonts w:hint="eastAsia"/>
          <w:lang w:val="nb-NO"/>
        </w:rPr>
        <w:t>Department of Food Science and Nutrition, College of Biosystems Engineering and Food Science, Zhejiang University, Hangzhou 310058, China</w:t>
      </w:r>
      <w:r>
        <w:rPr>
          <w:lang w:val="nb-NO"/>
        </w:rPr>
        <w:t xml:space="preserve"> </w:t>
      </w:r>
    </w:p>
    <w:p w14:paraId="05A3C6FA">
      <w:pPr>
        <w:pStyle w:val="8"/>
        <w:spacing w:after="400"/>
        <w:rPr>
          <w:lang w:eastAsia="zh-CN"/>
        </w:rPr>
      </w:pPr>
      <w:r>
        <w:rPr>
          <w:vertAlign w:val="superscript"/>
          <w:lang w:val="nb-NO"/>
        </w:rPr>
        <w:t>b</w:t>
      </w:r>
      <w:r>
        <w:rPr>
          <w:lang w:val="nb-NO"/>
        </w:rPr>
        <w:t xml:space="preserve"> </w:t>
      </w:r>
      <w:r>
        <w:rPr>
          <w:rFonts w:hint="eastAsia"/>
          <w:lang w:val="nb-NO"/>
        </w:rPr>
        <w:t>Department of Food Science, University of Massachusetts, Amherst, Massachusetts 01003, United States</w:t>
      </w:r>
    </w:p>
    <w:p w14:paraId="7715227C">
      <w:pPr>
        <w:pStyle w:val="6"/>
        <w:spacing w:before="120" w:after="0" w:line="240" w:lineRule="auto"/>
        <w:rPr>
          <w:sz w:val="20"/>
        </w:rPr>
      </w:pPr>
      <w:r>
        <w:rPr>
          <w:sz w:val="20"/>
        </w:rPr>
        <w:t>Abstract</w:t>
      </w:r>
    </w:p>
    <w:p w14:paraId="7687299F">
      <w:pPr>
        <w:pStyle w:val="6"/>
        <w:spacing w:before="120" w:after="0" w:line="240" w:lineRule="auto"/>
        <w:jc w:val="both"/>
        <w:rPr>
          <w:rFonts w:hint="default" w:ascii="Times New Roman" w:hAnsi="Times New Roman" w:cs="Times New Roman"/>
          <w:sz w:val="20"/>
          <w:szCs w:val="20"/>
          <w:lang w:val="en-US" w:eastAsia="zh-CN"/>
        </w:rPr>
      </w:pPr>
      <w:r>
        <w:rPr>
          <w:rFonts w:hint="default" w:ascii="Times New Roman" w:hAnsi="Times New Roman" w:cs="Times New Roman"/>
          <w:b w:val="0"/>
          <w:sz w:val="20"/>
        </w:rPr>
        <w:t>Pectin, as an important component of dietary fiber, plays a crucial regulatory role in maintaining the homeostasis of  gut microbiota.  The transient alternate high-fat diet (TAHD) is a dietary pattern that alternates between 3 days of a low-fat diet (LFD) and 3 days of a high-fat diet, aiming to simulate daily dietary habits.  In this study, we investigated the temporal dynamics of  gut microbiota and short-chain fatty acids (SCFAs) in response to citrus pectin (CP, 3% w/w) supplementation under TAHD. CP effectively reduced the abundance of the phylum Bacillota and promoted the phylum Bacteroidota. During the LFD phase, CP significantly increased Faecalibaculum_rodentium colonization abundance (3.76-fold within 1 day; P &lt; 0.05) and promoted SCFA biosynthesis. In addition, the synergistic intervention of CP enhanced the thermogenic metabolism of the host by activating the mRNA expression levels of thermogenesis-related genes (such as UCP1, etc.) in brown adipose tissue. This series of studies  systematically elucidated the molecular mechanism by which CP improves host metabolic homeostasis by optimizing the structure of the gut microbiota from the perspective of the microbiome−metabolism axis, providing an important theoretical basis for the  application of dietary fiber in the prevention and treatment of metabolic diseases</w:t>
      </w:r>
      <w:r>
        <w:rPr>
          <w:rFonts w:hint="default" w:ascii="Times New Roman" w:hAnsi="Times New Roman" w:cs="Times New Roman"/>
          <w:b w:val="0"/>
          <w:sz w:val="20"/>
          <w:lang w:val="en-US" w:eastAsia="zh-CN"/>
        </w:rPr>
        <w:t>.</w:t>
      </w:r>
    </w:p>
    <w:p w14:paraId="7BC67066">
      <w:pPr>
        <w:pStyle w:val="17"/>
        <w:spacing w:after="120" w:line="240" w:lineRule="auto"/>
        <w:rPr>
          <w:sz w:val="20"/>
        </w:rPr>
      </w:pPr>
    </w:p>
    <w:sectPr>
      <w:type w:val="continuous"/>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5D73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D346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BEA82">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1DA89215">
      <w:pPr>
        <w:pStyle w:val="10"/>
        <w:ind w:firstLine="120"/>
        <w:rPr>
          <w:sz w:val="18"/>
          <w:szCs w:val="18"/>
        </w:rPr>
      </w:pPr>
      <w:r>
        <w:rPr>
          <w:sz w:val="18"/>
          <w:szCs w:val="18"/>
        </w:rPr>
        <w:t xml:space="preserve">* </w:t>
      </w:r>
      <w:bookmarkStart w:id="0" w:name="_Hlk211087959"/>
      <w:bookmarkStart w:id="1" w:name="_Hlk211088033"/>
      <w:bookmarkStart w:id="2" w:name="_Hlk211088034"/>
      <w:bookmarkStart w:id="3" w:name="_Hlk211087958"/>
      <w:r>
        <w:rPr>
          <w:sz w:val="18"/>
          <w:szCs w:val="18"/>
        </w:rPr>
        <w:t xml:space="preserve">Corresponding author </w:t>
      </w:r>
      <w:r>
        <w:rPr>
          <w:i/>
          <w:iCs/>
          <w:sz w:val="18"/>
          <w:szCs w:val="18"/>
        </w:rPr>
        <w:t>E-mail address:</w:t>
      </w:r>
      <w:r>
        <w:rPr>
          <w:sz w:val="18"/>
          <w:szCs w:val="18"/>
        </w:rPr>
        <w:t xml:space="preserve"> </w:t>
      </w:r>
      <w:bookmarkEnd w:id="0"/>
      <w:bookmarkEnd w:id="1"/>
      <w:bookmarkEnd w:id="2"/>
      <w:bookmarkEnd w:id="3"/>
      <w:r>
        <w:rPr>
          <w:rFonts w:hint="eastAsia"/>
          <w:sz w:val="18"/>
          <w:szCs w:val="18"/>
          <w:lang w:val="nb-NO"/>
        </w:rPr>
        <w:t>hangxiao@umass.edu</w:t>
      </w:r>
      <w:bookmarkStart w:id="4" w:name="_GoBack"/>
      <w:bookmarkEnd w:id="4"/>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355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2432D">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54CF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05803"/>
    <w:multiLevelType w:val="multilevel"/>
    <w:tmpl w:val="56205803"/>
    <w:lvl w:ilvl="0" w:tentative="0">
      <w:start w:val="1"/>
      <w:numFmt w:val="decimal"/>
      <w:pStyle w:val="13"/>
      <w:suff w:val="space"/>
      <w:lvlText w:val="%1."/>
      <w:lvlJc w:val="left"/>
      <w:pPr>
        <w:ind w:left="0" w:firstLine="0"/>
      </w:pPr>
    </w:lvl>
    <w:lvl w:ilvl="1" w:tentative="0">
      <w:start w:val="1"/>
      <w:numFmt w:val="decimal"/>
      <w:pStyle w:val="14"/>
      <w:suff w:val="space"/>
      <w:lvlText w:val="%1.%2."/>
      <w:lvlJc w:val="left"/>
      <w:pPr>
        <w:ind w:left="0" w:firstLine="0"/>
      </w:pPr>
    </w:lvl>
    <w:lvl w:ilvl="2" w:tentative="0">
      <w:start w:val="1"/>
      <w:numFmt w:val="decimal"/>
      <w:pStyle w:val="15"/>
      <w:suff w:val="space"/>
      <w:lvlText w:val="%1.%2.%3."/>
      <w:lvlJc w:val="left"/>
      <w:pPr>
        <w:ind w:left="0" w:firstLine="0"/>
      </w:pPr>
    </w:lvl>
    <w:lvl w:ilvl="3" w:tentative="0">
      <w:start w:val="1"/>
      <w:numFmt w:val="decimal"/>
      <w:pStyle w:val="16"/>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numFmt w:val="chicago"/>
    <w:footnote w:id="2"/>
    <w:footnote w:id="3"/>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753D4"/>
    <w:rsid w:val="00DD4FF9"/>
    <w:rsid w:val="00F55548"/>
    <w:rsid w:val="46CC4B51"/>
    <w:rsid w:val="615C3D6D"/>
    <w:rsid w:val="754D3B09"/>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b-NO"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9"/>
    <w:unhideWhenUsed/>
    <w:qFormat/>
    <w:uiPriority w:val="99"/>
    <w:pPr>
      <w:tabs>
        <w:tab w:val="center" w:pos="4513"/>
        <w:tab w:val="right" w:pos="9026"/>
      </w:tabs>
      <w:spacing w:after="0" w:line="240" w:lineRule="auto"/>
    </w:pPr>
  </w:style>
  <w:style w:type="paragraph" w:styleId="3">
    <w:name w:val="header"/>
    <w:basedOn w:val="1"/>
    <w:link w:val="18"/>
    <w:unhideWhenUsed/>
    <w:qFormat/>
    <w:uiPriority w:val="99"/>
    <w:pPr>
      <w:tabs>
        <w:tab w:val="center" w:pos="4513"/>
        <w:tab w:val="right" w:pos="9026"/>
      </w:tabs>
      <w:spacing w:after="0" w:line="240" w:lineRule="auto"/>
    </w:pPr>
  </w:style>
  <w:style w:type="paragraph" w:customStyle="1" w:styleId="6">
    <w:name w:val="Els-Abstract-head"/>
    <w:next w:val="1"/>
    <w:qFormat/>
    <w:uiPriority w:val="0"/>
    <w:pPr>
      <w:keepNext/>
      <w:pBdr>
        <w:top w:val="single" w:color="auto" w:sz="4" w:space="10"/>
      </w:pBdr>
      <w:suppressAutoHyphens/>
      <w:spacing w:after="220" w:line="220" w:lineRule="exact"/>
    </w:pPr>
    <w:rPr>
      <w:rFonts w:ascii="Times New Roman" w:hAnsi="Times New Roman" w:eastAsia="宋体" w:cs="Times New Roman"/>
      <w:b/>
      <w:sz w:val="18"/>
      <w:szCs w:val="20"/>
      <w:lang w:val="en-US" w:eastAsia="en-US" w:bidi="ar-SA"/>
    </w:rPr>
  </w:style>
  <w:style w:type="paragraph" w:customStyle="1" w:styleId="7">
    <w:name w:val="Els-Abstract-text"/>
    <w:next w:val="1"/>
    <w:qFormat/>
    <w:uiPriority w:val="0"/>
    <w:pPr>
      <w:spacing w:after="0" w:line="220" w:lineRule="exact"/>
      <w:jc w:val="both"/>
    </w:pPr>
    <w:rPr>
      <w:rFonts w:ascii="Times New Roman" w:hAnsi="Times New Roman" w:eastAsia="宋体" w:cs="Times New Roman"/>
      <w:sz w:val="18"/>
      <w:szCs w:val="20"/>
      <w:lang w:val="en-US" w:eastAsia="en-US" w:bidi="ar-SA"/>
    </w:rPr>
  </w:style>
  <w:style w:type="paragraph" w:customStyle="1" w:styleId="8">
    <w:name w:val="Els-Affiliation"/>
    <w:next w:val="6"/>
    <w:qFormat/>
    <w:uiPriority w:val="0"/>
    <w:pPr>
      <w:suppressAutoHyphens/>
      <w:spacing w:after="0" w:line="200" w:lineRule="exact"/>
      <w:jc w:val="center"/>
    </w:pPr>
    <w:rPr>
      <w:rFonts w:ascii="Times New Roman" w:hAnsi="Times New Roman" w:eastAsia="宋体" w:cs="Times New Roman"/>
      <w:i/>
      <w:sz w:val="16"/>
      <w:szCs w:val="20"/>
      <w:lang w:val="en-US" w:eastAsia="en-US" w:bidi="ar-SA"/>
    </w:rPr>
  </w:style>
  <w:style w:type="paragraph" w:customStyle="1" w:styleId="9">
    <w:name w:val="Els-Author"/>
    <w:next w:val="1"/>
    <w:qFormat/>
    <w:uiPriority w:val="0"/>
    <w:pPr>
      <w:keepNext/>
      <w:suppressAutoHyphens/>
      <w:spacing w:after="160" w:line="300" w:lineRule="exact"/>
      <w:jc w:val="center"/>
    </w:pPr>
    <w:rPr>
      <w:rFonts w:ascii="Times New Roman" w:hAnsi="Times New Roman" w:eastAsia="宋体" w:cs="Times New Roman"/>
      <w:sz w:val="26"/>
      <w:szCs w:val="20"/>
      <w:lang w:val="en-US" w:eastAsia="en-US" w:bidi="ar-SA"/>
    </w:rPr>
  </w:style>
  <w:style w:type="paragraph" w:customStyle="1" w:styleId="10">
    <w:name w:val="Els-footnote"/>
    <w:qFormat/>
    <w:uiPriority w:val="0"/>
    <w:pPr>
      <w:keepLines/>
      <w:widowControl w:val="0"/>
      <w:spacing w:after="0" w:line="200" w:lineRule="exact"/>
      <w:ind w:firstLine="245"/>
      <w:jc w:val="both"/>
    </w:pPr>
    <w:rPr>
      <w:rFonts w:ascii="Times New Roman" w:hAnsi="Times New Roman" w:eastAsia="宋体" w:cs="Times New Roman"/>
      <w:sz w:val="16"/>
      <w:szCs w:val="20"/>
      <w:lang w:val="en-US" w:eastAsia="en-US" w:bidi="ar-SA"/>
    </w:rPr>
  </w:style>
  <w:style w:type="paragraph" w:customStyle="1" w:styleId="11">
    <w:name w:val="Els-Title"/>
    <w:next w:val="9"/>
    <w:autoRedefine/>
    <w:qFormat/>
    <w:uiPriority w:val="0"/>
    <w:pPr>
      <w:suppressAutoHyphens/>
      <w:spacing w:after="240" w:line="400" w:lineRule="exact"/>
      <w:jc w:val="center"/>
    </w:pPr>
    <w:rPr>
      <w:rFonts w:ascii="Times New Roman" w:hAnsi="Times New Roman" w:eastAsia="宋体" w:cs="Times New Roman"/>
      <w:sz w:val="32"/>
      <w:szCs w:val="32"/>
      <w:lang w:val="en-US" w:eastAsia="en-US" w:bidi="ar-SA"/>
    </w:rPr>
  </w:style>
  <w:style w:type="paragraph" w:customStyle="1" w:styleId="12">
    <w:name w:val="DocHead"/>
    <w:qFormat/>
    <w:uiPriority w:val="0"/>
    <w:pPr>
      <w:spacing w:before="240" w:after="240" w:line="240" w:lineRule="auto"/>
      <w:jc w:val="center"/>
    </w:pPr>
    <w:rPr>
      <w:rFonts w:ascii="Times New Roman" w:hAnsi="Times New Roman" w:eastAsia="宋体" w:cs="Times New Roman"/>
      <w:sz w:val="24"/>
      <w:szCs w:val="20"/>
      <w:lang w:val="en-US" w:eastAsia="en-US" w:bidi="ar-SA"/>
    </w:rPr>
  </w:style>
  <w:style w:type="paragraph" w:customStyle="1" w:styleId="13">
    <w:name w:val="Els-1storder-head"/>
    <w:next w:val="1"/>
    <w:qFormat/>
    <w:uiPriority w:val="0"/>
    <w:pPr>
      <w:keepNext/>
      <w:numPr>
        <w:ilvl w:val="0"/>
        <w:numId w:val="1"/>
      </w:numPr>
      <w:suppressAutoHyphens/>
      <w:spacing w:before="240" w:after="240" w:line="240" w:lineRule="exact"/>
    </w:pPr>
    <w:rPr>
      <w:rFonts w:ascii="Times New Roman" w:hAnsi="Times New Roman" w:eastAsia="宋体" w:cs="Times New Roman"/>
      <w:b/>
      <w:sz w:val="20"/>
      <w:szCs w:val="20"/>
      <w:lang w:val="en-US" w:eastAsia="en-US" w:bidi="ar-SA"/>
    </w:rPr>
  </w:style>
  <w:style w:type="paragraph" w:customStyle="1" w:styleId="14">
    <w:name w:val="Els-2ndorder-head"/>
    <w:next w:val="1"/>
    <w:qFormat/>
    <w:uiPriority w:val="0"/>
    <w:pPr>
      <w:keepNext/>
      <w:numPr>
        <w:ilvl w:val="1"/>
        <w:numId w:val="1"/>
      </w:numPr>
      <w:suppressAutoHyphens/>
      <w:spacing w:before="240" w:after="240" w:line="240" w:lineRule="exact"/>
    </w:pPr>
    <w:rPr>
      <w:rFonts w:ascii="Times New Roman" w:hAnsi="Times New Roman" w:eastAsia="宋体" w:cs="Times New Roman"/>
      <w:i/>
      <w:sz w:val="20"/>
      <w:szCs w:val="20"/>
      <w:lang w:val="en-US" w:eastAsia="en-US" w:bidi="ar-SA"/>
    </w:rPr>
  </w:style>
  <w:style w:type="paragraph" w:customStyle="1" w:styleId="15">
    <w:name w:val="Els-3rdorder-head"/>
    <w:next w:val="1"/>
    <w:qFormat/>
    <w:uiPriority w:val="0"/>
    <w:pPr>
      <w:keepNext/>
      <w:numPr>
        <w:ilvl w:val="2"/>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6">
    <w:name w:val="Els-4thorder-head"/>
    <w:next w:val="1"/>
    <w:qFormat/>
    <w:uiPriority w:val="0"/>
    <w:pPr>
      <w:keepNext/>
      <w:numPr>
        <w:ilvl w:val="3"/>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7">
    <w:name w:val="Els-keywords"/>
    <w:next w:val="1"/>
    <w:qFormat/>
    <w:uiPriority w:val="0"/>
    <w:pPr>
      <w:pBdr>
        <w:bottom w:val="single" w:color="auto" w:sz="4" w:space="10"/>
      </w:pBdr>
      <w:spacing w:after="200" w:line="200" w:lineRule="exact"/>
    </w:pPr>
    <w:rPr>
      <w:rFonts w:ascii="Times New Roman" w:hAnsi="Times New Roman" w:eastAsia="宋体" w:cs="Times New Roman"/>
      <w:sz w:val="16"/>
      <w:szCs w:val="20"/>
      <w:lang w:val="en-US" w:eastAsia="en-US" w:bidi="ar-SA"/>
    </w:rPr>
  </w:style>
  <w:style w:type="character" w:customStyle="1" w:styleId="18">
    <w:name w:val="Header Char"/>
    <w:basedOn w:val="5"/>
    <w:link w:val="3"/>
    <w:qFormat/>
    <w:uiPriority w:val="99"/>
  </w:style>
  <w:style w:type="character" w:customStyle="1" w:styleId="19">
    <w:name w:val="Footer Char"/>
    <w:basedOn w:val="5"/>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datastoreItem>
</file>

<file path=customXml/itemProps2.xml><?xml version="1.0" encoding="utf-8"?>
<ds:datastoreItem xmlns:ds="http://schemas.openxmlformats.org/officeDocument/2006/customXml" ds:itemID="{726F0403-E370-494D-B765-20D2FD758934}">
  <ds:schemaRefs/>
</ds:datastoreItem>
</file>

<file path=customXml/itemProps3.xml><?xml version="1.0" encoding="utf-8"?>
<ds:datastoreItem xmlns:ds="http://schemas.openxmlformats.org/officeDocument/2006/customXml" ds:itemID="{136EFCDA-EE0B-4F8D-B7B2-B495F7F5CC5A}">
  <ds:schemaRefs/>
</ds:datastoreItem>
</file>

<file path=customXml/itemProps4.xml><?xml version="1.0" encoding="utf-8"?>
<ds:datastoreItem xmlns:ds="http://schemas.openxmlformats.org/officeDocument/2006/customXml" ds:itemID="{49A82A5F-72B7-4901-A265-423F78BF8809}">
  <ds:schemaRefs/>
</ds:datastoreItem>
</file>

<file path=docProps/app.xml><?xml version="1.0" encoding="utf-8"?>
<Properties xmlns="http://schemas.openxmlformats.org/officeDocument/2006/extended-properties" xmlns:vt="http://schemas.openxmlformats.org/officeDocument/2006/docPropsVTypes">
  <Template>Normal</Template>
  <Company>NTNU</Company>
  <Pages>2</Pages>
  <Words>348</Words>
  <Characters>2581</Characters>
  <Lines>8</Lines>
  <Paragraphs>2</Paragraphs>
  <TotalTime>13</TotalTime>
  <ScaleCrop>false</ScaleCrop>
  <LinksUpToDate>false</LinksUpToDate>
  <CharactersWithSpaces>2919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2026-02-04T06:37:00Z</dcterms:created>
  <dc:creator>Peter Karlsaune</dc:creator>
  <cp:lastModifiedBy>詹敏敏</cp:lastModifiedBy>
  <dcterms:modified xsi:type="dcterms:W3CDTF">2026-05-11T08:37:58Z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KSOTemplateDocerSaveRecord">
    <vt:lpwstr>eyJoZGlkIjoiMGY1YjhhOGUzMDJhM2RiNjkzNzM0NjgwZTEwY2I4MmYiLCJ1c2VySWQiOiIxNjQzNTc2MTY2In0=</vt:lpwstr>
  </property>
  <property fmtid="{D5CDD505-2E9C-101B-9397-08002B2CF9AE}" pid="4" name="KSOProductBuildVer">
    <vt:lpwstr>2052-12.1.0.23542</vt:lpwstr>
  </property>
  <property fmtid="{D5CDD505-2E9C-101B-9397-08002B2CF9AE}" pid="5" name="ICV">
    <vt:lpwstr>60D932FA81FF4221BB2B48F604100031_13</vt:lpwstr>
  </property>
</Properties>
</file>