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01BD3FA6" w14:textId="77777777" w:rsidR="00793258" w:rsidRDefault="00793258" w:rsidP="00673656">
      <w:pPr>
        <w:pStyle w:val="Els-Author"/>
        <w:ind w:right="2"/>
        <w:rPr>
          <w:noProof w:val="0"/>
          <w:sz w:val="32"/>
          <w:szCs w:val="32"/>
        </w:rPr>
      </w:pPr>
      <w:r w:rsidRPr="00793258">
        <w:rPr>
          <w:noProof w:val="0"/>
          <w:sz w:val="32"/>
          <w:szCs w:val="32"/>
        </w:rPr>
        <w:t>Advanced Analytical Strategies for Flavour Characterisation in Complex Food Matrices</w:t>
      </w:r>
    </w:p>
    <w:p w14:paraId="5342D5C1" w14:textId="3175362B" w:rsidR="00673656" w:rsidRPr="00793258" w:rsidRDefault="00793258" w:rsidP="00793258">
      <w:pPr>
        <w:pStyle w:val="Els-Author"/>
        <w:ind w:right="2"/>
        <w:rPr>
          <w:sz w:val="24"/>
          <w:szCs w:val="24"/>
        </w:rPr>
        <w:sectPr w:rsidR="00673656" w:rsidRPr="00793258"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4"/>
          <w:szCs w:val="24"/>
          <w:lang w:val="nb-NO"/>
        </w:rPr>
        <w:t>Yunle Huang</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sidR="004C7508" w:rsidRPr="009C71BA">
        <w:rPr>
          <w:sz w:val="24"/>
          <w:szCs w:val="24"/>
          <w:lang w:val="nb-NO"/>
        </w:rPr>
        <w:t>V</w:t>
      </w:r>
      <w:r>
        <w:rPr>
          <w:sz w:val="24"/>
          <w:szCs w:val="24"/>
          <w:lang w:val="nb-NO"/>
        </w:rPr>
        <w:t>ivian Goh</w:t>
      </w:r>
      <w:r>
        <w:rPr>
          <w:sz w:val="24"/>
          <w:szCs w:val="24"/>
          <w:vertAlign w:val="superscript"/>
          <w:lang w:val="nb-NO"/>
        </w:rPr>
        <w:t>a</w:t>
      </w:r>
      <w:r>
        <w:rPr>
          <w:sz w:val="24"/>
          <w:szCs w:val="24"/>
          <w:lang w:val="nb-NO"/>
        </w:rPr>
        <w:t>, Kim Huey Ee</w:t>
      </w:r>
      <w:r>
        <w:rPr>
          <w:sz w:val="24"/>
          <w:szCs w:val="24"/>
          <w:vertAlign w:val="superscript"/>
          <w:lang w:val="nb-NO"/>
        </w:rPr>
        <w:t>a</w:t>
      </w:r>
      <w:r>
        <w:rPr>
          <w:sz w:val="24"/>
          <w:szCs w:val="24"/>
          <w:lang w:val="nb-NO"/>
        </w:rPr>
        <w:t xml:space="preserve">, </w:t>
      </w:r>
      <w:r w:rsidR="001913D3">
        <w:rPr>
          <w:sz w:val="24"/>
          <w:szCs w:val="24"/>
          <w:lang w:val="nb-NO"/>
        </w:rPr>
        <w:t>Shanbo Zhang</w:t>
      </w:r>
      <w:r w:rsidR="001913D3">
        <w:rPr>
          <w:sz w:val="24"/>
          <w:szCs w:val="24"/>
          <w:vertAlign w:val="superscript"/>
          <w:lang w:val="nb-NO"/>
        </w:rPr>
        <w:t>b</w:t>
      </w:r>
      <w:r w:rsidR="001913D3">
        <w:rPr>
          <w:sz w:val="24"/>
          <w:szCs w:val="24"/>
          <w:lang w:val="nb-NO"/>
        </w:rPr>
        <w:t xml:space="preserve">, </w:t>
      </w:r>
      <w:r>
        <w:rPr>
          <w:sz w:val="24"/>
          <w:szCs w:val="24"/>
          <w:lang w:val="nb-NO"/>
        </w:rPr>
        <w:t>Lionel Jublot</w:t>
      </w:r>
      <w:r>
        <w:rPr>
          <w:sz w:val="24"/>
          <w:szCs w:val="24"/>
          <w:vertAlign w:val="superscript"/>
          <w:lang w:val="nb-NO"/>
        </w:rPr>
        <w:t>a</w:t>
      </w:r>
      <w:r>
        <w:rPr>
          <w:sz w:val="24"/>
          <w:szCs w:val="24"/>
          <w:lang w:val="nb-NO"/>
        </w:rPr>
        <w:t>, Shao Quan Liu</w:t>
      </w:r>
      <w:r w:rsidRPr="00793258">
        <w:rPr>
          <w:sz w:val="24"/>
          <w:szCs w:val="24"/>
          <w:vertAlign w:val="superscript"/>
          <w:lang w:val="nb-NO"/>
        </w:rPr>
        <w:t>b</w:t>
      </w:r>
      <w:r>
        <w:rPr>
          <w:sz w:val="24"/>
          <w:szCs w:val="24"/>
          <w:lang w:val="nb-NO"/>
        </w:rPr>
        <w:t>, Bin Yu</w:t>
      </w:r>
      <w:r>
        <w:rPr>
          <w:sz w:val="24"/>
          <w:szCs w:val="24"/>
          <w:vertAlign w:val="superscript"/>
          <w:lang w:val="nb-NO"/>
        </w:rPr>
        <w:t>a</w:t>
      </w:r>
    </w:p>
    <w:p w14:paraId="78F2D831" w14:textId="77777777" w:rsidR="00793258" w:rsidRDefault="004C7508" w:rsidP="00793258">
      <w:pPr>
        <w:pStyle w:val="Els-Affiliation"/>
      </w:pPr>
      <w:r>
        <w:rPr>
          <w:vertAlign w:val="superscript"/>
          <w:lang w:val="nb-NO"/>
        </w:rPr>
        <w:t>a</w:t>
      </w:r>
      <w:r w:rsidRPr="00234209">
        <w:rPr>
          <w:lang w:val="nb-NO"/>
        </w:rPr>
        <w:t xml:space="preserve"> </w:t>
      </w:r>
      <w:r w:rsidR="00793258" w:rsidRPr="00793258">
        <w:rPr>
          <w:lang w:val="nb-NO"/>
        </w:rPr>
        <w:t>Mane SEA PTE LTD, 3 Biopolis Drive, #07-17/18/19 Synapse, Singapore</w:t>
      </w:r>
      <w:r w:rsidR="00793258" w:rsidRPr="00793258">
        <w:t xml:space="preserve"> </w:t>
      </w:r>
    </w:p>
    <w:p w14:paraId="05A3C6FA" w14:textId="777FB294" w:rsidR="00431340" w:rsidRDefault="00793258" w:rsidP="00793258">
      <w:pPr>
        <w:pStyle w:val="Els-Affiliation"/>
        <w:rPr>
          <w:lang w:eastAsia="zh-CN"/>
        </w:rPr>
      </w:pPr>
      <w:r>
        <w:rPr>
          <w:vertAlign w:val="superscript"/>
        </w:rPr>
        <w:t>b</w:t>
      </w:r>
      <w:r w:rsidRPr="00793258">
        <w:rPr>
          <w:lang w:val="nb-NO"/>
        </w:rPr>
        <w:t>Department of Food Science and Technology, National University of Singapore, S14 Level 5, Science Drive 2, Singapore</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4ED457A0" w14:textId="45BA4C07" w:rsidR="00793258" w:rsidRPr="00793258" w:rsidRDefault="00793258" w:rsidP="00793258">
      <w:pPr>
        <w:jc w:val="both"/>
        <w:rPr>
          <w:rFonts w:ascii="Times New Roman" w:eastAsia="SimSun" w:hAnsi="Times New Roman" w:cs="Times New Roman"/>
          <w:sz w:val="20"/>
          <w:szCs w:val="20"/>
          <w:lang w:val="en-US"/>
        </w:rPr>
      </w:pPr>
      <w:r w:rsidRPr="00793258">
        <w:rPr>
          <w:rFonts w:ascii="Times New Roman" w:eastAsia="SimSun" w:hAnsi="Times New Roman" w:cs="Times New Roman"/>
          <w:sz w:val="20"/>
          <w:szCs w:val="20"/>
          <w:lang w:val="en-US"/>
        </w:rPr>
        <w:t>Flavour is a key determinant of food quality and consumer acceptance, yet its comprehensive characterisation remains analytically challenging due to the complexity of food matrices and the diverse physicochemical properties of aroma compounds</w:t>
      </w:r>
      <w:r w:rsidR="00602B28">
        <w:rPr>
          <w:rFonts w:ascii="Times New Roman" w:eastAsia="SimSun" w:hAnsi="Times New Roman" w:cs="Times New Roman"/>
          <w:sz w:val="20"/>
          <w:szCs w:val="20"/>
          <w:lang w:val="en-US"/>
        </w:rPr>
        <w:t xml:space="preserve"> [1]</w:t>
      </w:r>
      <w:r w:rsidRPr="00793258">
        <w:rPr>
          <w:rFonts w:ascii="Times New Roman" w:eastAsia="SimSun" w:hAnsi="Times New Roman" w:cs="Times New Roman"/>
          <w:sz w:val="20"/>
          <w:szCs w:val="20"/>
          <w:lang w:val="en-US"/>
        </w:rPr>
        <w:t>. Recent advances in flavour analytical science have enabled more detailed investigation of trace-level volatiles, providing new opportunities for food quality assessment, product innovation, and sustainable food development.</w:t>
      </w:r>
    </w:p>
    <w:p w14:paraId="43327FF9" w14:textId="77777777" w:rsidR="00793258" w:rsidRPr="00793258" w:rsidRDefault="00793258" w:rsidP="00793258">
      <w:pPr>
        <w:rPr>
          <w:rFonts w:ascii="Times New Roman" w:eastAsia="SimSun" w:hAnsi="Times New Roman" w:cs="Times New Roman"/>
          <w:sz w:val="20"/>
          <w:szCs w:val="20"/>
          <w:lang w:val="en-US"/>
        </w:rPr>
      </w:pPr>
    </w:p>
    <w:p w14:paraId="031A7C75" w14:textId="455786DC" w:rsidR="00793258" w:rsidRPr="00793258" w:rsidRDefault="00793258" w:rsidP="00793258">
      <w:pPr>
        <w:jc w:val="both"/>
        <w:rPr>
          <w:rFonts w:ascii="Times New Roman" w:eastAsia="SimSun" w:hAnsi="Times New Roman" w:cs="Times New Roman"/>
          <w:sz w:val="20"/>
          <w:szCs w:val="20"/>
          <w:lang w:val="en-US"/>
        </w:rPr>
      </w:pPr>
      <w:r w:rsidRPr="00793258">
        <w:rPr>
          <w:rFonts w:ascii="Times New Roman" w:eastAsia="SimSun" w:hAnsi="Times New Roman" w:cs="Times New Roman"/>
          <w:sz w:val="20"/>
          <w:szCs w:val="20"/>
          <w:lang w:val="en-US"/>
        </w:rPr>
        <w:t xml:space="preserve">This presentation will focus on advanced analytical strategies for flavour characterisation in complex food matrices, with particular emphasis on </w:t>
      </w:r>
      <w:r>
        <w:rPr>
          <w:rFonts w:ascii="Times New Roman" w:eastAsia="SimSun" w:hAnsi="Times New Roman" w:cs="Times New Roman"/>
          <w:sz w:val="20"/>
          <w:szCs w:val="20"/>
          <w:lang w:val="en-US"/>
        </w:rPr>
        <w:t xml:space="preserve">different </w:t>
      </w:r>
      <w:r w:rsidRPr="00793258">
        <w:rPr>
          <w:rFonts w:ascii="Times New Roman" w:eastAsia="SimSun" w:hAnsi="Times New Roman" w:cs="Times New Roman"/>
          <w:sz w:val="20"/>
          <w:szCs w:val="20"/>
          <w:lang w:val="en-US"/>
        </w:rPr>
        <w:t>extraction techniques and multidimensional chromatographic separation approaches. Modern extraction methodologies, including solid-phase microextraction (SPME), stir bar sorptive extraction (SBSE), and solvent-assisted flavour evaporation (SAFE), will be discussed as powerful tools for the efficient isolation and enrichment of volatile and semi-volatile aroma compounds while minimising thermal degradation and matrix interference</w:t>
      </w:r>
      <w:r w:rsidR="001913D3">
        <w:rPr>
          <w:rFonts w:ascii="Times New Roman" w:eastAsia="SimSun" w:hAnsi="Times New Roman" w:cs="Times New Roman"/>
          <w:sz w:val="20"/>
          <w:szCs w:val="20"/>
          <w:lang w:val="en-US"/>
        </w:rPr>
        <w:t xml:space="preserve"> [1,2]</w:t>
      </w:r>
      <w:r w:rsidRPr="00793258">
        <w:rPr>
          <w:rFonts w:ascii="Times New Roman" w:eastAsia="SimSun" w:hAnsi="Times New Roman" w:cs="Times New Roman"/>
          <w:sz w:val="20"/>
          <w:szCs w:val="20"/>
          <w:lang w:val="en-US"/>
        </w:rPr>
        <w:t xml:space="preserve">. In addition, the application of multidimensional chromatographic techniques, particularly comprehensive and heart-cut multidimensional </w:t>
      </w:r>
      <w:r>
        <w:rPr>
          <w:rFonts w:ascii="Times New Roman" w:eastAsia="SimSun" w:hAnsi="Times New Roman" w:cs="Times New Roman"/>
          <w:sz w:val="20"/>
          <w:szCs w:val="20"/>
          <w:lang w:val="en-US"/>
        </w:rPr>
        <w:t>liquid</w:t>
      </w:r>
      <w:r w:rsidRPr="00793258">
        <w:rPr>
          <w:rFonts w:ascii="Times New Roman" w:eastAsia="SimSun" w:hAnsi="Times New Roman" w:cs="Times New Roman"/>
          <w:sz w:val="20"/>
          <w:szCs w:val="20"/>
          <w:lang w:val="en-US"/>
        </w:rPr>
        <w:t xml:space="preserve"> chromatography coupled with mass spectrometry, will be presented for the enhanced separation and detection of co-eluting compounds in highly complex food systems. These approaches significantly improve chromatographic resolution, sensitivity, and confidence in compound identification, especially for trace-level </w:t>
      </w:r>
      <w:r>
        <w:rPr>
          <w:rFonts w:ascii="Times New Roman" w:eastAsia="SimSun" w:hAnsi="Times New Roman" w:cs="Times New Roman"/>
          <w:sz w:val="20"/>
          <w:szCs w:val="20"/>
          <w:lang w:val="en-US"/>
        </w:rPr>
        <w:t>flavour</w:t>
      </w:r>
      <w:r w:rsidRPr="00793258">
        <w:rPr>
          <w:rFonts w:ascii="Times New Roman" w:eastAsia="SimSun" w:hAnsi="Times New Roman" w:cs="Times New Roman"/>
          <w:sz w:val="20"/>
          <w:szCs w:val="20"/>
          <w:lang w:val="en-US"/>
        </w:rPr>
        <w:t>-impact compounds</w:t>
      </w:r>
      <w:r w:rsidR="001913D3">
        <w:rPr>
          <w:rFonts w:ascii="Times New Roman" w:eastAsia="SimSun" w:hAnsi="Times New Roman" w:cs="Times New Roman"/>
          <w:sz w:val="20"/>
          <w:szCs w:val="20"/>
          <w:lang w:val="en-US"/>
        </w:rPr>
        <w:t xml:space="preserve"> [</w:t>
      </w:r>
      <w:r w:rsidR="00974D9E">
        <w:rPr>
          <w:rFonts w:ascii="Times New Roman" w:eastAsia="SimSun" w:hAnsi="Times New Roman" w:cs="Times New Roman"/>
          <w:sz w:val="20"/>
          <w:szCs w:val="20"/>
          <w:lang w:val="en-US"/>
        </w:rPr>
        <w:t>3</w:t>
      </w:r>
      <w:r w:rsidR="001913D3">
        <w:rPr>
          <w:rFonts w:ascii="Times New Roman" w:eastAsia="SimSun" w:hAnsi="Times New Roman" w:cs="Times New Roman"/>
          <w:sz w:val="20"/>
          <w:szCs w:val="20"/>
          <w:lang w:val="en-US"/>
        </w:rPr>
        <w:t>].</w:t>
      </w:r>
    </w:p>
    <w:p w14:paraId="2A25401D" w14:textId="77777777" w:rsidR="00793258" w:rsidRPr="00793258" w:rsidRDefault="00793258" w:rsidP="00793258">
      <w:pPr>
        <w:rPr>
          <w:rFonts w:ascii="Times New Roman" w:eastAsia="SimSun" w:hAnsi="Times New Roman" w:cs="Times New Roman"/>
          <w:sz w:val="20"/>
          <w:szCs w:val="20"/>
          <w:lang w:val="en-US"/>
        </w:rPr>
      </w:pPr>
    </w:p>
    <w:p w14:paraId="7687299F" w14:textId="65FA6770" w:rsidR="007679DD" w:rsidRDefault="00793258" w:rsidP="00793258">
      <w:pPr>
        <w:jc w:val="both"/>
        <w:rPr>
          <w:rFonts w:ascii="Times New Roman" w:eastAsia="SimSun" w:hAnsi="Times New Roman" w:cs="Times New Roman"/>
          <w:sz w:val="20"/>
          <w:szCs w:val="20"/>
          <w:lang w:val="en-US"/>
        </w:rPr>
      </w:pPr>
      <w:r w:rsidRPr="00793258">
        <w:rPr>
          <w:rFonts w:ascii="Times New Roman" w:eastAsia="SimSun" w:hAnsi="Times New Roman" w:cs="Times New Roman"/>
          <w:sz w:val="20"/>
          <w:szCs w:val="20"/>
          <w:lang w:val="en-US"/>
        </w:rPr>
        <w:t xml:space="preserve">Case studies involving tea, </w:t>
      </w:r>
      <w:r>
        <w:rPr>
          <w:rFonts w:ascii="Times New Roman" w:eastAsia="SimSun" w:hAnsi="Times New Roman" w:cs="Times New Roman"/>
          <w:sz w:val="20"/>
          <w:szCs w:val="20"/>
          <w:lang w:val="en-US"/>
        </w:rPr>
        <w:t>coffee</w:t>
      </w:r>
      <w:r w:rsidRPr="00793258">
        <w:rPr>
          <w:rFonts w:ascii="Times New Roman" w:eastAsia="SimSun" w:hAnsi="Times New Roman" w:cs="Times New Roman"/>
          <w:sz w:val="20"/>
          <w:szCs w:val="20"/>
          <w:lang w:val="en-US"/>
        </w:rPr>
        <w:t xml:space="preserve">, and other complex food matrices will be used to demonstrate how the advanced extraction techniques </w:t>
      </w:r>
      <w:r>
        <w:rPr>
          <w:rFonts w:ascii="Times New Roman" w:eastAsia="SimSun" w:hAnsi="Times New Roman" w:cs="Times New Roman"/>
          <w:sz w:val="20"/>
          <w:szCs w:val="20"/>
          <w:lang w:val="en-US"/>
        </w:rPr>
        <w:t>and</w:t>
      </w:r>
      <w:r w:rsidRPr="00793258">
        <w:rPr>
          <w:rFonts w:ascii="Times New Roman" w:eastAsia="SimSun" w:hAnsi="Times New Roman" w:cs="Times New Roman"/>
          <w:sz w:val="20"/>
          <w:szCs w:val="20"/>
          <w:lang w:val="en-US"/>
        </w:rPr>
        <w:t xml:space="preserve"> multidimensional chromatographic analysis can provide deeper insights into flavour composition. Overall, this talk aims to showcase how innovative analytical methodologies can advance flavour science and support the development of sustainable, high-quality, and consumer-oriented food products.</w:t>
      </w:r>
    </w:p>
    <w:p w14:paraId="2936E4ED" w14:textId="77777777" w:rsidR="00793258" w:rsidRPr="0078067E" w:rsidRDefault="00793258" w:rsidP="00793258">
      <w:pPr>
        <w:jc w:val="both"/>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110BD8AB" w:rsidR="00665C88" w:rsidRPr="00665C88" w:rsidRDefault="002A0A1C" w:rsidP="00F0007C">
      <w:pPr>
        <w:pStyle w:val="Els-keywords"/>
        <w:spacing w:after="120" w:line="240" w:lineRule="auto"/>
        <w:jc w:val="both"/>
        <w:rPr>
          <w:sz w:val="20"/>
        </w:rPr>
      </w:pPr>
      <w:r w:rsidRPr="00602B28">
        <w:rPr>
          <w:sz w:val="20"/>
          <w:lang w:val="en-SG"/>
        </w:rPr>
        <w:t xml:space="preserve">[1] </w:t>
      </w:r>
      <w:r w:rsidR="00602B28" w:rsidRPr="00602B28">
        <w:rPr>
          <w:sz w:val="20"/>
          <w:lang w:val="en-SG"/>
        </w:rPr>
        <w:t xml:space="preserve">Huang, Yunle, et al. "Enhanced extraction using a combination of stir bar sorptive extraction and thin film-solid phase microextraction." </w:t>
      </w:r>
      <w:r w:rsidR="00602B28" w:rsidRPr="00602B28">
        <w:rPr>
          <w:sz w:val="20"/>
          <w:lang w:val="it-IT"/>
        </w:rPr>
        <w:t>Journal of Chromatography A 1633 (2020): 461617.</w:t>
      </w:r>
      <w:r w:rsidR="00602B28" w:rsidRPr="00602B28">
        <w:rPr>
          <w:sz w:val="20"/>
          <w:lang w:val="it-IT"/>
        </w:rPr>
        <w:t xml:space="preserve"> </w:t>
      </w:r>
    </w:p>
    <w:p w14:paraId="1EE76F1F" w14:textId="77777777" w:rsidR="00602B28" w:rsidRDefault="002A0A1C" w:rsidP="00602B28">
      <w:pPr>
        <w:pStyle w:val="Els-keywords"/>
        <w:spacing w:after="120" w:line="240" w:lineRule="auto"/>
        <w:jc w:val="both"/>
        <w:rPr>
          <w:sz w:val="20"/>
        </w:rPr>
      </w:pPr>
      <w:r w:rsidRPr="00602B28">
        <w:rPr>
          <w:sz w:val="20"/>
          <w:lang w:val="it-IT"/>
        </w:rPr>
        <w:t xml:space="preserve">[2] </w:t>
      </w:r>
      <w:r w:rsidR="00602B28" w:rsidRPr="00602B28">
        <w:rPr>
          <w:sz w:val="20"/>
          <w:lang w:val="it-IT"/>
        </w:rPr>
        <w:t xml:space="preserve">Tan, Hui Ru, et al. </w:t>
      </w:r>
      <w:r w:rsidR="00602B28" w:rsidRPr="00602B28">
        <w:rPr>
          <w:sz w:val="20"/>
        </w:rPr>
        <w:t>"Characterisation of key odourants in Japanese green tea using gas chromatography-olfactometry and gas chromatography-mass spectrometry." Lwt 108 (2019): 221-232.</w:t>
      </w:r>
      <w:r w:rsidR="00602B28" w:rsidRPr="00602B28">
        <w:rPr>
          <w:sz w:val="20"/>
        </w:rPr>
        <w:t xml:space="preserve"> </w:t>
      </w:r>
    </w:p>
    <w:p w14:paraId="7BC67066" w14:textId="63983141" w:rsidR="003B0ABD" w:rsidRDefault="00602B28" w:rsidP="00602B28">
      <w:pPr>
        <w:pStyle w:val="Els-keywords"/>
        <w:spacing w:after="120" w:line="240" w:lineRule="auto"/>
        <w:jc w:val="both"/>
        <w:rPr>
          <w:sz w:val="20"/>
        </w:rPr>
      </w:pPr>
      <w:r>
        <w:rPr>
          <w:sz w:val="20"/>
        </w:rPr>
        <w:t xml:space="preserve">[3] </w:t>
      </w:r>
      <w:r w:rsidR="001913D3" w:rsidRPr="001913D3">
        <w:rPr>
          <w:sz w:val="20"/>
        </w:rPr>
        <w:t>Zhang, Shanbo, et al. "A two-dimensional liquid chromatography approach for simultaneous separation and quantification of structural and chiral amino acids in oolong tea." Food Chemistry 472 (2025): 142846.</w:t>
      </w:r>
    </w:p>
    <w:p w14:paraId="58327AE7" w14:textId="77777777" w:rsidR="00602B28" w:rsidRPr="00602B28" w:rsidRDefault="00602B28" w:rsidP="00602B28">
      <w:pPr>
        <w:rPr>
          <w:lang w:val="en-US"/>
        </w:rPr>
      </w:pPr>
    </w:p>
    <w:sectPr w:rsidR="00602B28" w:rsidRPr="00602B28"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5F60" w14:textId="77777777" w:rsidR="001B02EF" w:rsidRDefault="001B02EF" w:rsidP="00431340">
      <w:pPr>
        <w:spacing w:after="0" w:line="240" w:lineRule="auto"/>
      </w:pPr>
      <w:r>
        <w:separator/>
      </w:r>
    </w:p>
  </w:endnote>
  <w:endnote w:type="continuationSeparator" w:id="0">
    <w:p w14:paraId="523CA347" w14:textId="77777777" w:rsidR="001B02EF" w:rsidRDefault="001B02EF"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3EAC3" w14:textId="77777777" w:rsidR="001B02EF" w:rsidRDefault="001B02EF" w:rsidP="00431340">
      <w:pPr>
        <w:spacing w:after="0" w:line="240" w:lineRule="auto"/>
      </w:pPr>
      <w:r>
        <w:separator/>
      </w:r>
    </w:p>
  </w:footnote>
  <w:footnote w:type="continuationSeparator" w:id="0">
    <w:p w14:paraId="4381CAC7" w14:textId="77777777" w:rsidR="001B02EF" w:rsidRDefault="001B02EF" w:rsidP="00431340">
      <w:pPr>
        <w:spacing w:after="0" w:line="240" w:lineRule="auto"/>
      </w:pPr>
      <w:r>
        <w:continuationSeparator/>
      </w:r>
    </w:p>
  </w:footnote>
  <w:footnote w:id="1">
    <w:p w14:paraId="1DA89215" w14:textId="2B84E0E7"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602B28">
        <w:rPr>
          <w:sz w:val="18"/>
          <w:szCs w:val="18"/>
          <w:lang w:val="nb-NO"/>
        </w:rPr>
        <w:t>yunle.huang@mane.com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7103F"/>
    <w:rsid w:val="001913D3"/>
    <w:rsid w:val="001B02EF"/>
    <w:rsid w:val="001C51B3"/>
    <w:rsid w:val="00234209"/>
    <w:rsid w:val="002537DA"/>
    <w:rsid w:val="002A0A1C"/>
    <w:rsid w:val="002A2B3C"/>
    <w:rsid w:val="00372579"/>
    <w:rsid w:val="003B0ABD"/>
    <w:rsid w:val="00431340"/>
    <w:rsid w:val="004B7E87"/>
    <w:rsid w:val="004C7508"/>
    <w:rsid w:val="004D1125"/>
    <w:rsid w:val="0059506C"/>
    <w:rsid w:val="005B77D8"/>
    <w:rsid w:val="00602B28"/>
    <w:rsid w:val="00646E7D"/>
    <w:rsid w:val="00654033"/>
    <w:rsid w:val="00665C88"/>
    <w:rsid w:val="00673656"/>
    <w:rsid w:val="006D3652"/>
    <w:rsid w:val="0070599D"/>
    <w:rsid w:val="007679DD"/>
    <w:rsid w:val="00772B06"/>
    <w:rsid w:val="007752C7"/>
    <w:rsid w:val="0078067E"/>
    <w:rsid w:val="00781D43"/>
    <w:rsid w:val="00793258"/>
    <w:rsid w:val="00827794"/>
    <w:rsid w:val="00974D9E"/>
    <w:rsid w:val="0098310E"/>
    <w:rsid w:val="009C71BA"/>
    <w:rsid w:val="00BE265A"/>
    <w:rsid w:val="00BF77A7"/>
    <w:rsid w:val="00C17F75"/>
    <w:rsid w:val="00C4616B"/>
    <w:rsid w:val="00C67487"/>
    <w:rsid w:val="00CC179B"/>
    <w:rsid w:val="00D10E69"/>
    <w:rsid w:val="00D753D4"/>
    <w:rsid w:val="00DD4FF9"/>
    <w:rsid w:val="00F0007C"/>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451</Words>
  <Characters>2573</Characters>
  <Application>Microsoft Office Word</Application>
  <DocSecurity>0</DocSecurity>
  <Lines>21</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HUANG Yunle</cp:lastModifiedBy>
  <cp:revision>5</cp:revision>
  <dcterms:created xsi:type="dcterms:W3CDTF">2026-05-12T02:14:00Z</dcterms:created>
  <dcterms:modified xsi:type="dcterms:W3CDTF">2026-05-12T02:40:00Z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