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1C89BE0F" w14:textId="3192D527" w:rsidR="00FF5FE8" w:rsidRPr="00FF5FE8" w:rsidRDefault="00FF5FE8" w:rsidP="00FF5FE8">
      <w:pPr>
        <w:jc w:val="center"/>
        <w:rPr>
          <w:rFonts w:ascii="Times New Roman" w:hAnsi="Times New Roman" w:cs="Times New Roman"/>
          <w:sz w:val="32"/>
          <w:szCs w:val="32"/>
        </w:rPr>
      </w:pPr>
      <w:r w:rsidRPr="00FF5FE8">
        <w:rPr>
          <w:rFonts w:ascii="Times New Roman" w:hAnsi="Times New Roman" w:cs="Times New Roman"/>
          <w:sz w:val="32"/>
          <w:szCs w:val="32"/>
        </w:rPr>
        <w:t>Effect of Continuous Deep Frying on</w:t>
      </w:r>
      <w:r w:rsidRPr="00FF5FE8">
        <w:rPr>
          <w:rFonts w:ascii="Times New Roman" w:hAnsi="Times New Roman" w:cs="Times New Roman"/>
          <w:sz w:val="32"/>
          <w:szCs w:val="32"/>
          <w:lang w:val="en-US"/>
        </w:rPr>
        <w:t xml:space="preserve"> the</w:t>
      </w:r>
      <w:r w:rsidRPr="00FF5FE8">
        <w:rPr>
          <w:rFonts w:ascii="Times New Roman" w:hAnsi="Times New Roman" w:cs="Times New Roman"/>
          <w:sz w:val="32"/>
          <w:szCs w:val="32"/>
        </w:rPr>
        <w:t xml:space="preserve"> Formation of Toxic Oxidation Compounds: An Emerging Food Safety Concern</w:t>
      </w:r>
    </w:p>
    <w:p w14:paraId="4AB05090" w14:textId="3F4DD24F" w:rsidR="00FF5FE8" w:rsidRDefault="00FF5FE8" w:rsidP="00FF5FE8">
      <w:pPr>
        <w:jc w:val="center"/>
        <w:rPr>
          <w:rFonts w:ascii="Times New Roman" w:hAnsi="Times New Roman" w:cs="Times New Roman"/>
          <w:sz w:val="24"/>
          <w:szCs w:val="24"/>
        </w:rPr>
      </w:pPr>
      <w:r w:rsidRPr="00FF5FE8">
        <w:rPr>
          <w:rFonts w:ascii="Times New Roman" w:hAnsi="Times New Roman" w:cs="Times New Roman"/>
          <w:sz w:val="24"/>
          <w:szCs w:val="24"/>
        </w:rPr>
        <w:t>Monisha Chandran</w:t>
      </w:r>
      <w:r>
        <w:rPr>
          <w:rFonts w:ascii="Times New Roman" w:hAnsi="Times New Roman" w:cs="Times New Roman"/>
          <w:sz w:val="24"/>
          <w:szCs w:val="24"/>
          <w:vertAlign w:val="superscript"/>
        </w:rPr>
        <w:t>a</w:t>
      </w:r>
      <w:r w:rsidRPr="00FF5FE8">
        <w:rPr>
          <w:rFonts w:ascii="Times New Roman" w:hAnsi="Times New Roman" w:cs="Times New Roman"/>
          <w:sz w:val="24"/>
          <w:szCs w:val="24"/>
        </w:rPr>
        <w:t>,</w:t>
      </w:r>
      <w:r>
        <w:rPr>
          <w:rFonts w:ascii="Times New Roman" w:hAnsi="Times New Roman" w:cs="Times New Roman"/>
          <w:sz w:val="24"/>
          <w:szCs w:val="24"/>
        </w:rPr>
        <w:t xml:space="preserve"> Loganathan Manickam</w:t>
      </w:r>
      <w:r>
        <w:rPr>
          <w:rFonts w:ascii="Times New Roman" w:hAnsi="Times New Roman" w:cs="Times New Roman"/>
          <w:sz w:val="24"/>
          <w:szCs w:val="24"/>
          <w:vertAlign w:val="superscript"/>
        </w:rPr>
        <w:t>b</w:t>
      </w:r>
      <w:r>
        <w:rPr>
          <w:rFonts w:ascii="Times New Roman" w:hAnsi="Times New Roman" w:cs="Times New Roman"/>
          <w:sz w:val="24"/>
          <w:szCs w:val="24"/>
          <w:vertAlign w:val="superscript"/>
        </w:rPr>
        <w:t>*</w:t>
      </w:r>
    </w:p>
    <w:p w14:paraId="5342D5C1" w14:textId="690F9261" w:rsidR="00673656" w:rsidRPr="00673656" w:rsidRDefault="00673656" w:rsidP="00431340">
      <w:pPr>
        <w:pStyle w:val="Els-Author"/>
        <w:ind w:right="2"/>
        <w:rPr>
          <w:sz w:val="28"/>
          <w:szCs w:val="28"/>
        </w:rPr>
        <w:sectPr w:rsidR="00673656" w:rsidRPr="00673656" w:rsidSect="00431340">
          <w:footerReference w:type="default" r:id="rId11"/>
          <w:footnotePr>
            <w:numFmt w:val="chicago"/>
          </w:footnotePr>
          <w:type w:val="continuous"/>
          <w:pgSz w:w="11906" w:h="16838"/>
          <w:pgMar w:top="1440" w:right="1440" w:bottom="1440" w:left="1440" w:header="708" w:footer="708" w:gutter="0"/>
          <w:cols w:space="708"/>
          <w:docGrid w:linePitch="360"/>
        </w:sectPr>
      </w:pPr>
    </w:p>
    <w:p w14:paraId="652CE03F" w14:textId="2C849401" w:rsidR="00431340" w:rsidRPr="00234209" w:rsidRDefault="004C7508" w:rsidP="00234209">
      <w:pPr>
        <w:pStyle w:val="Els-Affiliation"/>
        <w:rPr>
          <w:iCs/>
        </w:rPr>
      </w:pPr>
      <w:r>
        <w:rPr>
          <w:vertAlign w:val="superscript"/>
          <w:lang w:val="nb-NO"/>
        </w:rPr>
        <w:t>a</w:t>
      </w:r>
      <w:r>
        <w:rPr>
          <w:lang w:val="nb-NO"/>
        </w:rPr>
        <w:t xml:space="preserve">Department of </w:t>
      </w:r>
      <w:r w:rsidR="00FF5FE8">
        <w:rPr>
          <w:lang w:val="nb-NO"/>
        </w:rPr>
        <w:t xml:space="preserve">Food Process Technology, </w:t>
      </w:r>
      <w:r w:rsidR="00FF5FE8" w:rsidRPr="00FF5FE8">
        <w:rPr>
          <w:i w:val="0"/>
          <w:iCs/>
          <w:szCs w:val="16"/>
        </w:rPr>
        <w:t>National Institute of Food Technology, Entrepreneurship and Management, Thanjavur (NIFTEM-T), Pudukkottai Road, Thanjavur – 613005</w:t>
      </w:r>
    </w:p>
    <w:p w14:paraId="602FA4AB" w14:textId="5AA3BD7A" w:rsidR="00FF5FE8" w:rsidRDefault="00234209" w:rsidP="00FF5FE8">
      <w:pPr>
        <w:jc w:val="center"/>
        <w:rPr>
          <w:rFonts w:ascii="Times New Roman" w:hAnsi="Times New Roman" w:cs="Times New Roman"/>
          <w:sz w:val="24"/>
          <w:szCs w:val="24"/>
        </w:rPr>
      </w:pPr>
      <w:r w:rsidRPr="00FF5FE8">
        <w:rPr>
          <w:rFonts w:ascii="Times New Roman" w:hAnsi="Times New Roman" w:cs="Times New Roman"/>
          <w:sz w:val="16"/>
          <w:szCs w:val="16"/>
          <w:vertAlign w:val="superscript"/>
        </w:rPr>
        <w:t>b</w:t>
      </w:r>
      <w:r w:rsidR="00FF5FE8" w:rsidRPr="00FF5FE8">
        <w:rPr>
          <w:rFonts w:ascii="Times New Roman" w:hAnsi="Times New Roman" w:cs="Times New Roman"/>
          <w:i/>
          <w:iCs/>
          <w:sz w:val="16"/>
          <w:szCs w:val="16"/>
        </w:rPr>
        <w:t xml:space="preserve">Department of Food Packaging and Storage Technology, </w:t>
      </w:r>
      <w:r w:rsidR="00FF5FE8" w:rsidRPr="00FF5FE8">
        <w:rPr>
          <w:rFonts w:ascii="Times New Roman" w:hAnsi="Times New Roman" w:cs="Times New Roman"/>
          <w:i/>
          <w:iCs/>
          <w:sz w:val="16"/>
          <w:szCs w:val="16"/>
        </w:rPr>
        <w:t>National Institute of Food Technology, Entrepreneurship and Management, Thanjavur (NIFTEM-T), Pudukkottai Road, Thanjavur – 613005</w:t>
      </w:r>
    </w:p>
    <w:p w14:paraId="6CAF5FCE" w14:textId="752EBE17" w:rsidR="0097582C" w:rsidRDefault="00431340" w:rsidP="0097582C">
      <w:pPr>
        <w:pStyle w:val="Els-Abstract-head"/>
        <w:spacing w:before="120" w:after="0" w:line="240" w:lineRule="auto"/>
        <w:rPr>
          <w:sz w:val="20"/>
        </w:rPr>
      </w:pPr>
      <w:r w:rsidRPr="00BF77A7">
        <w:rPr>
          <w:sz w:val="20"/>
        </w:rPr>
        <w:t>Abstract</w:t>
      </w:r>
    </w:p>
    <w:p w14:paraId="2655CF5B" w14:textId="77777777" w:rsidR="0097582C" w:rsidRPr="0097582C" w:rsidRDefault="0097582C" w:rsidP="0097582C">
      <w:pPr>
        <w:spacing w:after="0" w:line="240" w:lineRule="auto"/>
        <w:rPr>
          <w:lang w:val="en-US"/>
        </w:rPr>
      </w:pPr>
    </w:p>
    <w:p w14:paraId="71721720" w14:textId="77777777" w:rsidR="0097582C" w:rsidRPr="0097582C" w:rsidRDefault="0097582C" w:rsidP="0097582C">
      <w:pPr>
        <w:spacing w:line="240" w:lineRule="auto"/>
        <w:jc w:val="both"/>
        <w:rPr>
          <w:rFonts w:ascii="Times New Roman" w:hAnsi="Times New Roman" w:cs="Times New Roman"/>
          <w:bCs/>
          <w:sz w:val="20"/>
          <w:szCs w:val="20"/>
        </w:rPr>
      </w:pPr>
      <w:r w:rsidRPr="0097582C">
        <w:rPr>
          <w:rFonts w:ascii="Times New Roman" w:hAnsi="Times New Roman" w:cs="Times New Roman"/>
          <w:bCs/>
          <w:sz w:val="20"/>
          <w:szCs w:val="20"/>
        </w:rPr>
        <w:t>The continuous deep frying of food materials leads thermal and oxidative degradation of oil which has significant effects on the quality and safety of fried foods. This study involved continuous deep frying of cassava chips in palm oil (PO) at 180 °C for 80 frying cycles. Subsequently oil samples and chips were collected at every 20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frying cycle. The oil samples were categorised as POF (Fresh), PO1 (1</w:t>
      </w:r>
      <w:r w:rsidRPr="0097582C">
        <w:rPr>
          <w:rFonts w:ascii="Times New Roman" w:hAnsi="Times New Roman" w:cs="Times New Roman"/>
          <w:bCs/>
          <w:sz w:val="20"/>
          <w:szCs w:val="20"/>
          <w:vertAlign w:val="superscript"/>
        </w:rPr>
        <w:t>st</w:t>
      </w:r>
      <w:r w:rsidRPr="0097582C">
        <w:rPr>
          <w:rFonts w:ascii="Times New Roman" w:hAnsi="Times New Roman" w:cs="Times New Roman"/>
          <w:bCs/>
          <w:sz w:val="20"/>
          <w:szCs w:val="20"/>
        </w:rPr>
        <w:t xml:space="preserve"> cycle), PO20 (20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cycle), PO40 (40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cycle), PO60 (60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cycle) and PO80 (80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cycle). The fried cassava chips obtained in the respective cycle were labelled as PCF01, PCF20, PCF40, PCF60, and PCF80. The moisture content of cassava chips (PCF) was found to be below 2-3 % which significantly corelates with hardness and crispiness in chips using TPA. The whiteness index (41.21) of PCF60 indicated the golden-brown color with decreased a* (4.24) and increased b* value (23.79) in cassava chips at 60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frying cycle. The stereomicroscopic analysis of cassava chips provided insights into crust formation and micropore distribution, which depicts the internal structural changes occurred during deep frying. The fatty acid composition and oil quality index were assessed by GC-MS revealed the formation of saturated fatty acid by breakdown of linoleic acid. The HPLC analysis of acrylamide and Hydroxy Methyl Furfural (HMF) indicates a substantial increase in their concentrations with increasing frying cycles. At the 80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frying cycle, PO exhibited HMF and acrylamide contents of 17.100 µg/L and 2.507 µg/L, respectively, whereas PCF showed markedly elevated levels of 4984.3 µg/L and 3.001 µg/L. The accumulation of these thermal degradation products was strongly associated with prolonged frying at 180 °C and coincided with the formation of total polar compounds exceeding 25%, indicating significant deterioration of the frying oil. Thus, the results exhibits that the accumulation of toxic compounds during continuous frying in palm oil from 1</w:t>
      </w:r>
      <w:r w:rsidRPr="0097582C">
        <w:rPr>
          <w:rFonts w:ascii="Times New Roman" w:hAnsi="Times New Roman" w:cs="Times New Roman"/>
          <w:bCs/>
          <w:sz w:val="20"/>
          <w:szCs w:val="20"/>
          <w:vertAlign w:val="superscript"/>
        </w:rPr>
        <w:t>st</w:t>
      </w:r>
      <w:r w:rsidRPr="0097582C">
        <w:rPr>
          <w:rFonts w:ascii="Times New Roman" w:hAnsi="Times New Roman" w:cs="Times New Roman"/>
          <w:bCs/>
          <w:sz w:val="20"/>
          <w:szCs w:val="20"/>
        </w:rPr>
        <w:t xml:space="preserve"> to 80</w:t>
      </w:r>
      <w:r w:rsidRPr="0097582C">
        <w:rPr>
          <w:rFonts w:ascii="Times New Roman" w:hAnsi="Times New Roman" w:cs="Times New Roman"/>
          <w:bCs/>
          <w:sz w:val="20"/>
          <w:szCs w:val="20"/>
          <w:vertAlign w:val="superscript"/>
        </w:rPr>
        <w:t>th</w:t>
      </w:r>
      <w:r w:rsidRPr="0097582C">
        <w:rPr>
          <w:rFonts w:ascii="Times New Roman" w:hAnsi="Times New Roman" w:cs="Times New Roman"/>
          <w:bCs/>
          <w:sz w:val="20"/>
          <w:szCs w:val="20"/>
        </w:rPr>
        <w:t xml:space="preserve"> frying cycles, may significantly affect both the safety and quality attributes of cassava chips.</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4CBFC13C" w14:textId="54A72A58" w:rsidR="0097582C" w:rsidRPr="0097582C" w:rsidRDefault="002A0A1C" w:rsidP="00665C88">
      <w:pPr>
        <w:pStyle w:val="Els-keywords"/>
        <w:spacing w:after="120" w:line="240" w:lineRule="auto"/>
        <w:rPr>
          <w:sz w:val="20"/>
          <w:lang w:val="nb-NO"/>
        </w:rPr>
      </w:pPr>
      <w:r w:rsidRPr="00C67487">
        <w:rPr>
          <w:sz w:val="20"/>
        </w:rPr>
        <w:t xml:space="preserve">[1] </w:t>
      </w:r>
      <w:r w:rsidR="0097582C" w:rsidRPr="0097582C">
        <w:rPr>
          <w:sz w:val="20"/>
          <w:lang w:val="nb-NO"/>
        </w:rPr>
        <w:t xml:space="preserve">Chandran, M., &amp; Manickam, L. </w:t>
      </w:r>
      <w:r w:rsidR="0097582C">
        <w:rPr>
          <w:sz w:val="20"/>
        </w:rPr>
        <w:t>“</w:t>
      </w:r>
      <w:r w:rsidR="0097582C" w:rsidRPr="0097582C">
        <w:rPr>
          <w:sz w:val="20"/>
          <w:lang w:val="nb-NO"/>
        </w:rPr>
        <w:t>Effect on thermo-oxidative degradation of palm olein during continuous and replenishment deep-frying methods</w:t>
      </w:r>
      <w:r w:rsidR="0097582C">
        <w:rPr>
          <w:sz w:val="20"/>
        </w:rPr>
        <w:t>”</w:t>
      </w:r>
      <w:r w:rsidR="0097582C">
        <w:rPr>
          <w:sz w:val="20"/>
        </w:rPr>
        <w:t>,</w:t>
      </w:r>
      <w:r w:rsidR="0097582C" w:rsidRPr="0097582C">
        <w:rPr>
          <w:sz w:val="20"/>
          <w:lang w:val="nb-NO"/>
        </w:rPr>
        <w:t xml:space="preserve"> Journal of Food Measurement and Characterization, </w:t>
      </w:r>
      <w:r w:rsidR="0097582C">
        <w:rPr>
          <w:sz w:val="20"/>
          <w:lang w:val="nb-NO"/>
        </w:rPr>
        <w:t xml:space="preserve">pp. </w:t>
      </w:r>
      <w:r w:rsidR="0097582C" w:rsidRPr="0097582C">
        <w:rPr>
          <w:sz w:val="20"/>
          <w:lang w:val="nb-NO"/>
        </w:rPr>
        <w:t>1-22</w:t>
      </w:r>
      <w:r w:rsidR="0097582C">
        <w:rPr>
          <w:sz w:val="20"/>
          <w:lang w:val="nb-NO"/>
        </w:rPr>
        <w:t>, 2026</w:t>
      </w:r>
    </w:p>
    <w:p w14:paraId="7BC67066" w14:textId="0190D694" w:rsidR="003B0ABD" w:rsidRDefault="002A0A1C" w:rsidP="0078067E">
      <w:pPr>
        <w:pStyle w:val="Els-keywords"/>
        <w:spacing w:after="120" w:line="240" w:lineRule="auto"/>
        <w:rPr>
          <w:sz w:val="20"/>
          <w:lang w:val="nb-NO"/>
        </w:rPr>
      </w:pPr>
      <w:r w:rsidRPr="00C67487">
        <w:rPr>
          <w:sz w:val="20"/>
        </w:rPr>
        <w:t xml:space="preserve">[2] </w:t>
      </w:r>
      <w:r w:rsidR="0097582C" w:rsidRPr="0097582C">
        <w:rPr>
          <w:sz w:val="20"/>
          <w:lang w:val="nb-NO"/>
        </w:rPr>
        <w:t xml:space="preserve">Zhang, Ding-Chao, </w:t>
      </w:r>
      <w:r w:rsidR="0097582C">
        <w:rPr>
          <w:sz w:val="20"/>
        </w:rPr>
        <w:t>“</w:t>
      </w:r>
      <w:r w:rsidR="0097582C" w:rsidRPr="0097582C">
        <w:rPr>
          <w:sz w:val="20"/>
          <w:lang w:val="nb-NO"/>
        </w:rPr>
        <w:t>Speciation of VOCs in the cooking fumes from five edible oils and their corresponding health risk assessments</w:t>
      </w:r>
      <w:r w:rsidR="0097582C">
        <w:rPr>
          <w:sz w:val="20"/>
        </w:rPr>
        <w:t>”</w:t>
      </w:r>
      <w:r w:rsidR="0097582C">
        <w:rPr>
          <w:sz w:val="20"/>
        </w:rPr>
        <w:t xml:space="preserve">, </w:t>
      </w:r>
      <w:r w:rsidR="0097582C" w:rsidRPr="0097582C">
        <w:rPr>
          <w:i/>
          <w:iCs/>
          <w:sz w:val="20"/>
          <w:lang w:val="nb-NO"/>
        </w:rPr>
        <w:t>Atmospheric environment</w:t>
      </w:r>
      <w:r w:rsidR="0097582C">
        <w:rPr>
          <w:i/>
          <w:iCs/>
          <w:sz w:val="20"/>
          <w:lang w:val="nb-NO"/>
        </w:rPr>
        <w:t xml:space="preserve">, </w:t>
      </w:r>
      <w:r w:rsidR="0097582C" w:rsidRPr="0097582C">
        <w:rPr>
          <w:sz w:val="20"/>
          <w:lang w:val="nb-NO"/>
        </w:rPr>
        <w:t>Vol</w:t>
      </w:r>
      <w:r w:rsidR="0097582C">
        <w:rPr>
          <w:i/>
          <w:iCs/>
          <w:sz w:val="20"/>
          <w:lang w:val="nb-NO"/>
        </w:rPr>
        <w:t>.</w:t>
      </w:r>
      <w:r w:rsidR="0097582C" w:rsidRPr="0097582C">
        <w:rPr>
          <w:sz w:val="20"/>
          <w:lang w:val="nb-NO"/>
        </w:rPr>
        <w:t> 211</w:t>
      </w:r>
      <w:r w:rsidR="0097582C">
        <w:rPr>
          <w:sz w:val="20"/>
          <w:lang w:val="nb-NO"/>
        </w:rPr>
        <w:t xml:space="preserve">, pp. </w:t>
      </w:r>
      <w:r w:rsidR="0097582C" w:rsidRPr="0097582C">
        <w:rPr>
          <w:sz w:val="20"/>
          <w:lang w:val="nb-NO"/>
        </w:rPr>
        <w:t>6-17</w:t>
      </w:r>
      <w:r w:rsidR="0097582C">
        <w:rPr>
          <w:sz w:val="20"/>
          <w:lang w:val="nb-NO"/>
        </w:rPr>
        <w:t>, 2019</w:t>
      </w:r>
    </w:p>
    <w:p w14:paraId="74AE568F" w14:textId="77777777" w:rsidR="0097582C" w:rsidRDefault="0097582C" w:rsidP="0097582C"/>
    <w:p w14:paraId="0BA1F006" w14:textId="77777777" w:rsidR="0097582C" w:rsidRDefault="0097582C" w:rsidP="0097582C"/>
    <w:p w14:paraId="35A6123F" w14:textId="77777777" w:rsidR="0097582C" w:rsidRDefault="0097582C" w:rsidP="0097582C"/>
    <w:p w14:paraId="66F7B741" w14:textId="77777777" w:rsidR="0097582C" w:rsidRDefault="0097582C" w:rsidP="0097582C"/>
    <w:p w14:paraId="11B84DE9" w14:textId="77777777" w:rsidR="0097582C" w:rsidRDefault="0097582C" w:rsidP="0097582C"/>
    <w:p w14:paraId="7914C0CE" w14:textId="77777777" w:rsidR="0097582C" w:rsidRDefault="0097582C" w:rsidP="0097582C"/>
    <w:p w14:paraId="29CE663F" w14:textId="77777777" w:rsidR="0097582C" w:rsidRPr="0097582C" w:rsidRDefault="0097582C" w:rsidP="0097582C"/>
    <w:sectPr w:rsidR="0097582C" w:rsidRPr="0097582C"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3704" w14:textId="77777777" w:rsidR="00FB3D9C" w:rsidRDefault="00FB3D9C" w:rsidP="00431340">
      <w:pPr>
        <w:spacing w:after="0" w:line="240" w:lineRule="auto"/>
      </w:pPr>
      <w:r>
        <w:separator/>
      </w:r>
    </w:p>
  </w:endnote>
  <w:endnote w:type="continuationSeparator" w:id="0">
    <w:p w14:paraId="55611BAE" w14:textId="77777777" w:rsidR="00FB3D9C" w:rsidRDefault="00FB3D9C"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A4B9" w14:textId="4BA1A02E" w:rsidR="0097582C" w:rsidRPr="0097582C" w:rsidRDefault="0097582C">
    <w:pPr>
      <w:pStyle w:val="Footer"/>
      <w:rPr>
        <w:rFonts w:ascii="Times New Roman" w:hAnsi="Times New Roman" w:cs="Times New Roman"/>
      </w:rPr>
    </w:pPr>
    <w:r w:rsidRPr="0097582C">
      <w:rPr>
        <w:rFonts w:ascii="Times New Roman" w:hAnsi="Times New Roman" w:cs="Times New Roman"/>
        <w:sz w:val="16"/>
        <w:szCs w:val="16"/>
      </w:rPr>
      <w:t xml:space="preserve">* </w:t>
    </w:r>
    <w:bookmarkStart w:id="0" w:name="_Hlk211087958"/>
    <w:bookmarkStart w:id="1" w:name="_Hlk211087959"/>
    <w:bookmarkStart w:id="2" w:name="_Hlk211088033"/>
    <w:bookmarkStart w:id="3" w:name="_Hlk211088034"/>
    <w:r w:rsidRPr="0097582C">
      <w:rPr>
        <w:rFonts w:ascii="Times New Roman" w:hAnsi="Times New Roman" w:cs="Times New Roman"/>
        <w:sz w:val="16"/>
        <w:szCs w:val="16"/>
      </w:rPr>
      <w:t xml:space="preserve">Corresponding author </w:t>
    </w:r>
    <w:r w:rsidRPr="0097582C">
      <w:rPr>
        <w:rFonts w:ascii="Times New Roman" w:hAnsi="Times New Roman" w:cs="Times New Roman"/>
        <w:i/>
        <w:iCs/>
        <w:sz w:val="16"/>
        <w:szCs w:val="16"/>
      </w:rPr>
      <w:t>E-mail address:</w:t>
    </w:r>
    <w:r w:rsidRPr="0097582C">
      <w:rPr>
        <w:rFonts w:ascii="Times New Roman" w:hAnsi="Times New Roman" w:cs="Times New Roman"/>
        <w:sz w:val="16"/>
        <w:szCs w:val="16"/>
      </w:rPr>
      <w:t xml:space="preserve"> </w:t>
    </w:r>
    <w:bookmarkEnd w:id="0"/>
    <w:bookmarkEnd w:id="1"/>
    <w:bookmarkEnd w:id="2"/>
    <w:bookmarkEnd w:id="3"/>
    <w:r w:rsidRPr="0097582C">
      <w:rPr>
        <w:rFonts w:ascii="Times New Roman" w:hAnsi="Times New Roman" w:cs="Times New Roman"/>
        <w:sz w:val="16"/>
        <w:szCs w:val="16"/>
      </w:rPr>
      <w:t>logu@iifpt.edu.in</w:t>
    </w:r>
  </w:p>
  <w:p w14:paraId="3C85D731"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8A76E" w14:textId="77777777" w:rsidR="00FB3D9C" w:rsidRDefault="00FB3D9C" w:rsidP="00431340">
      <w:pPr>
        <w:spacing w:after="0" w:line="240" w:lineRule="auto"/>
      </w:pPr>
      <w:r>
        <w:separator/>
      </w:r>
    </w:p>
  </w:footnote>
  <w:footnote w:type="continuationSeparator" w:id="0">
    <w:p w14:paraId="1C020051" w14:textId="77777777" w:rsidR="00FB3D9C" w:rsidRDefault="00FB3D9C"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362AD"/>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89740E"/>
    <w:rsid w:val="0097582C"/>
    <w:rsid w:val="009C71BA"/>
    <w:rsid w:val="00BE265A"/>
    <w:rsid w:val="00BF77A7"/>
    <w:rsid w:val="00C17F75"/>
    <w:rsid w:val="00C4616B"/>
    <w:rsid w:val="00C67487"/>
    <w:rsid w:val="00CC179B"/>
    <w:rsid w:val="00D10E69"/>
    <w:rsid w:val="00D753D4"/>
    <w:rsid w:val="00DD4FF9"/>
    <w:rsid w:val="00E5348C"/>
    <w:rsid w:val="00F55548"/>
    <w:rsid w:val="00FB3D9C"/>
    <w:rsid w:val="00FF5FE8"/>
  </w:rsids>
  <m:mathPr>
    <m:mathFont m:val="Cambria Math"/>
    <m:brkBin m:val="before"/>
    <m:brkBinSub m:val="--"/>
    <m:smallFrac m:val="0"/>
    <m:dispDef/>
    <m:lMargin m:val="0"/>
    <m:rMargin m:val="0"/>
    <m:defJc m:val="centerGroup"/>
    <m:wrapIndent m:val="1440"/>
    <m:intLim m:val="subSup"/>
    <m:naryLim m:val="undOvr"/>
  </m:mathPr>
  <w:themeFontLang w:val="nb-NO"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2595</Characters>
  <Application>Microsoft Office Word</Application>
  <DocSecurity>0</DocSecurity>
  <Lines>21</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Monisha Chandran</cp:lastModifiedBy>
  <cp:revision>2</cp:revision>
  <dcterms:created xsi:type="dcterms:W3CDTF">2026-05-13T05:42:00Z</dcterms:created>
  <dcterms:modified xsi:type="dcterms:W3CDTF">2026-05-13T05:42:00Z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