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56A75">
      <w:pPr>
        <w:pStyle w:val="13"/>
        <w:spacing w:before="0" w:after="0"/>
        <w:ind w:left="-119" w:right="-136" w:firstLine="119"/>
      </w:pPr>
      <w:r>
        <w:t>SIFF 2026</w:t>
      </w:r>
    </w:p>
    <w:p w14:paraId="2641CBEB">
      <w:pPr>
        <w:pStyle w:val="13"/>
        <w:spacing w:before="0" w:after="0"/>
        <w:ind w:left="-119" w:right="-136" w:firstLine="119"/>
      </w:pPr>
      <w:r>
        <w:t>Singapore International Food Forum 2026</w:t>
      </w:r>
      <w:r>
        <w:br w:type="textWrapping"/>
      </w:r>
    </w:p>
    <w:p w14:paraId="4538BFCD">
      <w:pPr>
        <w:pStyle w:val="12"/>
        <w:rPr>
          <w:b/>
          <w:bCs/>
        </w:rPr>
      </w:pPr>
      <w:r>
        <w:rPr>
          <w:rFonts w:hint="eastAsia"/>
          <w:b/>
          <w:bCs/>
        </w:rPr>
        <w:t>Advances in Scaling and Products of Cell Culturted Fish Meat</w:t>
      </w:r>
    </w:p>
    <w:p w14:paraId="5E774EED">
      <w:pPr>
        <w:pStyle w:val="10"/>
        <w:numPr>
          <w:ilvl w:val="0"/>
          <w:numId w:val="2"/>
        </w:numPr>
        <w:ind w:right="2"/>
        <w:rPr>
          <w:sz w:val="24"/>
          <w:szCs w:val="24"/>
        </w:rPr>
      </w:pPr>
      <w:r>
        <w:rPr>
          <w:rFonts w:hint="eastAsia"/>
          <w:sz w:val="24"/>
          <w:szCs w:val="24"/>
          <w:lang w:val="en-US" w:eastAsia="zh-CN"/>
        </w:rPr>
        <w:t>W.</w:t>
      </w:r>
      <w:r>
        <w:rPr>
          <w:sz w:val="24"/>
          <w:szCs w:val="24"/>
          <w:lang w:val="nb-NO"/>
        </w:rPr>
        <w:t xml:space="preserve"> </w:t>
      </w:r>
      <w:r>
        <w:rPr>
          <w:rFonts w:hint="eastAsia"/>
          <w:sz w:val="24"/>
          <w:szCs w:val="24"/>
          <w:lang w:val="en-US" w:eastAsia="zh-CN"/>
        </w:rPr>
        <w:t>Zheng</w:t>
      </w:r>
      <w:r>
        <w:rPr>
          <w:sz w:val="24"/>
          <w:szCs w:val="24"/>
          <w:vertAlign w:val="superscript"/>
          <w:lang w:val="nb-NO"/>
        </w:rPr>
        <w:t>a</w:t>
      </w:r>
      <w:r>
        <w:rPr>
          <w:rFonts w:hint="eastAsia"/>
          <w:sz w:val="24"/>
          <w:szCs w:val="24"/>
          <w:vertAlign w:val="superscript"/>
          <w:lang w:val="nb-NO" w:eastAsia="zh-CN"/>
        </w:rPr>
        <w:t>，</w:t>
      </w:r>
      <w:r>
        <w:rPr>
          <w:rFonts w:hint="eastAsia"/>
          <w:sz w:val="24"/>
          <w:szCs w:val="24"/>
          <w:vertAlign w:val="superscript"/>
          <w:lang w:val="en-US" w:eastAsia="zh-CN"/>
        </w:rPr>
        <w:t>b</w:t>
      </w:r>
      <w:r>
        <w:rPr>
          <w:sz w:val="24"/>
          <w:szCs w:val="24"/>
          <w:lang w:val="nb-NO"/>
        </w:rPr>
        <w:t xml:space="preserve">, </w:t>
      </w:r>
      <w:r>
        <w:rPr>
          <w:rFonts w:hint="eastAsia"/>
          <w:sz w:val="24"/>
          <w:szCs w:val="24"/>
          <w:lang w:val="en-US" w:eastAsia="zh-CN"/>
        </w:rPr>
        <w:t>C. H. Xue</w:t>
      </w:r>
      <w:r>
        <w:rPr>
          <w:rFonts w:hint="eastAsia"/>
          <w:sz w:val="24"/>
          <w:szCs w:val="24"/>
          <w:vertAlign w:val="superscript"/>
          <w:lang w:val="en-US" w:eastAsia="zh-CN"/>
        </w:rPr>
        <w:t>a，b</w:t>
      </w:r>
    </w:p>
    <w:p w14:paraId="5342D5C1">
      <w:pPr>
        <w:pStyle w:val="10"/>
        <w:ind w:right="2"/>
        <w:rPr>
          <w:sz w:val="28"/>
          <w:szCs w:val="28"/>
        </w:rPr>
        <w:sectPr>
          <w:headerReference r:id="rId7" w:type="first"/>
          <w:footerReference r:id="rId10" w:type="first"/>
          <w:headerReference r:id="rId5" w:type="default"/>
          <w:footerReference r:id="rId8" w:type="default"/>
          <w:headerReference r:id="rId6" w:type="even"/>
          <w:footerReference r:id="rId9" w:type="even"/>
          <w:footnotePr>
            <w:numFmt w:val="chicago"/>
          </w:footnotePr>
          <w:type w:val="continuous"/>
          <w:pgSz w:w="11906" w:h="16838"/>
          <w:pgMar w:top="1440" w:right="1440" w:bottom="1440" w:left="1440" w:header="708" w:footer="708" w:gutter="0"/>
          <w:cols w:space="708" w:num="1"/>
          <w:docGrid w:linePitch="360" w:charSpace="0"/>
        </w:sectPr>
      </w:pPr>
    </w:p>
    <w:p w14:paraId="0862BCC2">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300"/>
        <w:jc w:val="both"/>
        <w:textAlignment w:val="auto"/>
        <w:rPr>
          <w:rFonts w:hint="eastAsia" w:ascii="Times New Roman" w:hAnsi="Times New Roman" w:eastAsia="宋体" w:cs="Times New Roman"/>
          <w:i/>
          <w:iCs w:val="0"/>
          <w:sz w:val="18"/>
          <w:szCs w:val="20"/>
          <w:highlight w:val="none"/>
          <w:vertAlign w:val="baseline"/>
          <w:lang w:val="en-US" w:eastAsia="en-US" w:bidi="ar-SA"/>
        </w:rPr>
      </w:pPr>
      <w:r>
        <w:rPr>
          <w:rFonts w:hint="eastAsia" w:ascii="Times New Roman" w:hAnsi="Times New Roman" w:eastAsia="宋体" w:cs="Times New Roman"/>
          <w:i/>
          <w:iCs w:val="0"/>
          <w:sz w:val="18"/>
          <w:szCs w:val="20"/>
          <w:highlight w:val="none"/>
          <w:vertAlign w:val="superscript"/>
          <w:lang w:val="en-US" w:eastAsia="zh-CN" w:bidi="ar-SA"/>
        </w:rPr>
        <w:t>a</w:t>
      </w:r>
      <w:r>
        <w:rPr>
          <w:rFonts w:hint="eastAsia" w:ascii="Times New Roman" w:hAnsi="Times New Roman" w:eastAsia="宋体" w:cs="Times New Roman"/>
          <w:i/>
          <w:iCs w:val="0"/>
          <w:sz w:val="18"/>
          <w:szCs w:val="20"/>
          <w:highlight w:val="none"/>
          <w:vertAlign w:val="baseline"/>
          <w:lang w:val="en-US" w:eastAsia="en-US" w:bidi="ar-SA"/>
        </w:rPr>
        <w:t>State Key Laboratory of Marine Food Processing and Safety Control, College of Food Science and Engineering, Ocean University of China, Shandong, Qingdao 266404, China</w:t>
      </w:r>
    </w:p>
    <w:p w14:paraId="03B13F0A">
      <w:pPr>
        <w:pStyle w:val="9"/>
        <w:keepNext w:val="0"/>
        <w:keepLines w:val="0"/>
        <w:pageBreakBefore w:val="0"/>
        <w:kinsoku/>
        <w:wordWrap/>
        <w:overflowPunct/>
        <w:topLinePunct w:val="0"/>
        <w:autoSpaceDE/>
        <w:autoSpaceDN/>
        <w:bidi w:val="0"/>
        <w:adjustRightInd/>
        <w:snapToGrid/>
        <w:spacing w:after="400"/>
        <w:textAlignment w:val="auto"/>
        <w:rPr>
          <w:rFonts w:hint="eastAsia"/>
          <w:lang w:val="en-US" w:eastAsia="zh-CN"/>
        </w:rPr>
      </w:pPr>
      <w:r>
        <w:rPr>
          <w:rFonts w:hint="eastAsia"/>
          <w:i/>
          <w:iCs w:val="0"/>
          <w:sz w:val="18"/>
          <w:highlight w:val="none"/>
          <w:vertAlign w:val="superscript"/>
          <w:lang w:val="en-US" w:eastAsia="zh-CN"/>
        </w:rPr>
        <w:t>b</w:t>
      </w:r>
      <w:r>
        <w:rPr>
          <w:rFonts w:hint="eastAsia"/>
          <w:i/>
          <w:iCs w:val="0"/>
          <w:sz w:val="18"/>
          <w:highlight w:val="none"/>
          <w:vertAlign w:val="baseline"/>
        </w:rPr>
        <w:t>Qingdao Inititute of Marine Bioresource for Nutrition and Health Innovation, Shandong, Qingdao 266109, China</w:t>
      </w:r>
    </w:p>
    <w:p w14:paraId="7715227C">
      <w:pPr>
        <w:pStyle w:val="7"/>
        <w:spacing w:before="120" w:after="0" w:line="240" w:lineRule="auto"/>
        <w:rPr>
          <w:sz w:val="20"/>
        </w:rPr>
      </w:pPr>
      <w:r>
        <w:rPr>
          <w:sz w:val="20"/>
        </w:rPr>
        <w:t>Abstract</w:t>
      </w:r>
    </w:p>
    <w:p w14:paraId="7687299F">
      <w:pPr>
        <w:jc w:val="both"/>
        <w:rPr>
          <w:rFonts w:ascii="Times New Roman" w:hAnsi="Times New Roman" w:eastAsia="宋体" w:cs="Times New Roman"/>
          <w:b w:val="0"/>
          <w:sz w:val="20"/>
          <w:szCs w:val="20"/>
          <w:lang w:val="en-US" w:eastAsia="zh-CN" w:bidi="ar-SA"/>
        </w:rPr>
      </w:pPr>
      <w:r>
        <w:rPr>
          <w:rFonts w:hint="eastAsia" w:ascii="Times New Roman" w:hAnsi="Times New Roman" w:eastAsia="宋体" w:cs="Times New Roman"/>
          <w:b w:val="0"/>
          <w:sz w:val="20"/>
          <w:szCs w:val="20"/>
          <w:lang w:val="en-US" w:eastAsia="zh-CN" w:bidi="ar-SA"/>
        </w:rPr>
        <w:t>Cell-cultured meat is regarded a vital strategy to address the growing demand for meat while alleviating issues associated with traditional livestock farming</w:t>
      </w:r>
      <w:r>
        <w:rPr>
          <w:rFonts w:hint="eastAsia" w:ascii="Times New Roman" w:hAnsi="Times New Roman" w:eastAsia="宋体" w:cs="Times New Roman"/>
          <w:b w:val="0"/>
          <w:sz w:val="20"/>
          <w:szCs w:val="20"/>
          <w:vertAlign w:val="superscript"/>
          <w:lang w:val="en-US" w:eastAsia="zh-CN" w:bidi="ar-SA"/>
        </w:rPr>
        <w:t>[1,2].</w:t>
      </w:r>
      <w:r>
        <w:rPr>
          <w:rFonts w:hint="eastAsia" w:ascii="Times New Roman" w:hAnsi="Times New Roman" w:eastAsia="宋体" w:cs="Times New Roman"/>
          <w:b w:val="0"/>
          <w:sz w:val="20"/>
          <w:szCs w:val="20"/>
          <w:lang w:val="en-US" w:eastAsia="zh-CN" w:bidi="ar-SA"/>
        </w:rPr>
        <w:t xml:space="preserve"> Our group has undertaken research efforts focusing on cell-cultured fish meat, including the development of seed cells, serum substitutes, cell culture scaffolds, large-scale cell culture solutions, and food structuring technologies. We have developed representative marine fish muscle and fat cell lines, and created several spontaneously immortalised cell lines. In addition，suspension culture and co-culture systems for anchorage-dependent cells have been established. A chemically defined serum-free culture medium was constructed for customised proliferation and differentiation of marine fish stem cells. To establish the 3D seed cell culture system, the mechanisms by which cell culture scaffolds regulate directed cell growth were investigated, and edible microcarriers and bulk scaffolds were constructed. The impact of different scaffold structures on cell proliferation was also investigated. The edible microcarrier was used to construct a system for scale-up expansion of seed cells using a bioreactor, and issues related to cell adhesion and migration on edible scaffold surfaces were answered. Meanwhile, a noval system for gentle scaffold degradation and non-destructive  large-scale cell harvesting was developed. Food structuring technologies for cell-cultured fish meat were developed by mimicking the natural flavour and texture properties of natural fish meat, and the cell-cultured fish meat analogues were developed using 3D printing techniques and high-fidelity gelling techniques. This research will provide a theoretical basis and technical references for the efficient and stable production of cell-cultured fish meat at scale.</w:t>
      </w:r>
    </w:p>
    <w:p w14:paraId="0AE07FD0">
      <w:pPr>
        <w:pStyle w:val="18"/>
        <w:spacing w:after="120" w:line="240" w:lineRule="auto"/>
        <w:rPr>
          <w:b/>
          <w:sz w:val="20"/>
        </w:rPr>
      </w:pPr>
      <w:r>
        <w:rPr>
          <w:b/>
          <w:sz w:val="20"/>
        </w:rPr>
        <w:t>References</w:t>
      </w:r>
    </w:p>
    <w:p w14:paraId="6D4B1C1B">
      <w:pPr>
        <w:pStyle w:val="18"/>
        <w:spacing w:after="120" w:line="240" w:lineRule="auto"/>
        <w:rPr>
          <w:rFonts w:hint="default" w:eastAsia="宋体"/>
          <w:sz w:val="20"/>
          <w:lang w:val="en-US" w:eastAsia="zh-CN"/>
        </w:rPr>
      </w:pPr>
      <w:r>
        <w:rPr>
          <w:sz w:val="20"/>
        </w:rPr>
        <w:t xml:space="preserve">[1] </w:t>
      </w:r>
      <w:r>
        <w:rPr>
          <w:rFonts w:hint="eastAsia"/>
          <w:sz w:val="20"/>
          <w:lang w:val="en-US" w:eastAsia="zh-CN"/>
        </w:rPr>
        <w:t>T. Messmer, I. Klevernic, C. Furquim, etc.A serum-free media formulation for cultured meat production supports bovine satellite cell differentiation in the absence of serum starvation. Nature Food, Vol. 3, pp. 74-85, 2022</w:t>
      </w:r>
    </w:p>
    <w:p w14:paraId="21334756">
      <w:pPr>
        <w:pStyle w:val="18"/>
        <w:spacing w:after="120" w:line="240" w:lineRule="auto"/>
        <w:rPr>
          <w:rFonts w:hint="default" w:eastAsia="宋体"/>
          <w:sz w:val="20"/>
          <w:lang w:val="en-US" w:eastAsia="zh-CN"/>
        </w:rPr>
      </w:pPr>
      <w:r>
        <w:rPr>
          <w:rFonts w:hint="eastAsia"/>
          <w:sz w:val="20"/>
          <w:lang w:val="en-US" w:eastAsia="zh-CN"/>
        </w:rPr>
        <w:t>[2] F.-C. Yen J. Glusac, S. Levi, etc. Cultured meat platform developed through the structuring of edible microcarrier-derived microtissues with oleogel-based fat substitute. Nature Communications, Vol. 14, 2942, 2023.</w:t>
      </w:r>
      <w:bookmarkStart w:id="0" w:name="_GoBack"/>
      <w:bookmarkEnd w:id="0"/>
    </w:p>
    <w:p w14:paraId="7BC67066">
      <w:pPr>
        <w:pStyle w:val="18"/>
        <w:spacing w:after="120" w:line="240" w:lineRule="auto"/>
        <w:rPr>
          <w:sz w:val="20"/>
        </w:rPr>
      </w:pPr>
    </w:p>
    <w:sectPr>
      <w:type w:val="continuous"/>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5D731">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D3463">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BEA82">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355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2432D">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54CF2">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BB91D"/>
    <w:multiLevelType w:val="singleLevel"/>
    <w:tmpl w:val="E1EBB91D"/>
    <w:lvl w:ilvl="0" w:tentative="0">
      <w:start w:val="8"/>
      <w:numFmt w:val="upperLetter"/>
      <w:suff w:val="space"/>
      <w:lvlText w:val="%1."/>
      <w:lvlJc w:val="left"/>
    </w:lvl>
  </w:abstractNum>
  <w:abstractNum w:abstractNumId="1">
    <w:nsid w:val="56205803"/>
    <w:multiLevelType w:val="multilevel"/>
    <w:tmpl w:val="56205803"/>
    <w:lvl w:ilvl="0" w:tentative="0">
      <w:start w:val="1"/>
      <w:numFmt w:val="decimal"/>
      <w:pStyle w:val="14"/>
      <w:suff w:val="space"/>
      <w:lvlText w:val="%1."/>
      <w:lvlJc w:val="left"/>
      <w:pPr>
        <w:ind w:left="0" w:firstLine="0"/>
      </w:pPr>
    </w:lvl>
    <w:lvl w:ilvl="1" w:tentative="0">
      <w:start w:val="1"/>
      <w:numFmt w:val="decimal"/>
      <w:pStyle w:val="15"/>
      <w:suff w:val="space"/>
      <w:lvlText w:val="%1.%2."/>
      <w:lvlJc w:val="left"/>
      <w:pPr>
        <w:ind w:left="0" w:firstLine="0"/>
      </w:pPr>
    </w:lvl>
    <w:lvl w:ilvl="2" w:tentative="0">
      <w:start w:val="1"/>
      <w:numFmt w:val="decimal"/>
      <w:pStyle w:val="16"/>
      <w:suff w:val="space"/>
      <w:lvlText w:val="%1.%2.%3."/>
      <w:lvlJc w:val="left"/>
      <w:pPr>
        <w:ind w:left="0" w:firstLine="0"/>
      </w:pPr>
    </w:lvl>
    <w:lvl w:ilvl="3" w:tentative="0">
      <w:start w:val="1"/>
      <w:numFmt w:val="decimal"/>
      <w:pStyle w:val="17"/>
      <w:suff w:val="space"/>
      <w:lvlText w:val="%1.%2.%3.%4."/>
      <w:lvlJc w:val="left"/>
      <w:pPr>
        <w:ind w:left="0" w:firstLine="0"/>
      </w:pPr>
    </w:lvl>
    <w:lvl w:ilvl="4" w:tentative="0">
      <w:start w:val="1"/>
      <w:numFmt w:val="decimal"/>
      <w:suff w:val="space"/>
      <w:lvlText w:val="%1.%2.%3.%4.%5."/>
      <w:lvlJc w:val="left"/>
      <w:pPr>
        <w:ind w:left="0" w:firstLine="0"/>
      </w:pPr>
    </w:lvl>
    <w:lvl w:ilvl="5" w:tentative="0">
      <w:start w:val="1"/>
      <w:numFmt w:val="decimal"/>
      <w:suff w:val="space"/>
      <w:lvlText w:val="%1.%2.%3.%4.%5.%6."/>
      <w:lvlJc w:val="left"/>
      <w:pPr>
        <w:ind w:left="0" w:firstLine="0"/>
      </w:pPr>
    </w:lvl>
    <w:lvl w:ilvl="6" w:tentative="0">
      <w:start w:val="1"/>
      <w:numFmt w:val="decimal"/>
      <w:suff w:val="space"/>
      <w:lvlText w:val="%1.%2.%3.%4.%5.%6.%7."/>
      <w:lvlJc w:val="left"/>
      <w:pPr>
        <w:ind w:left="0" w:firstLine="0"/>
      </w:pPr>
    </w:lvl>
    <w:lvl w:ilvl="7" w:tentative="0">
      <w:start w:val="1"/>
      <w:numFmt w:val="decimal"/>
      <w:suff w:val="space"/>
      <w:lvlText w:val="%1.%2.%3.%4.%5.%6.%7.%8."/>
      <w:lvlJc w:val="left"/>
      <w:pPr>
        <w:ind w:left="0" w:firstLine="0"/>
      </w:pPr>
    </w:lvl>
    <w:lvl w:ilvl="8" w:tentative="0">
      <w:start w:val="1"/>
      <w:numFmt w:val="decimal"/>
      <w:suff w:val="space"/>
      <w:lvlText w:val="%1..%3.%4.%5.%6.%7.%8.%9."/>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ocumentProtection w:enforcement="0"/>
  <w:defaultTabStop w:val="708"/>
  <w:hyphenationZone w:val="425"/>
  <w:characterSpacingControl w:val="doNotCompress"/>
  <w:footnotePr>
    <w:numFmt w:val="chicago"/>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E265A"/>
    <w:rsid w:val="00BF77A7"/>
    <w:rsid w:val="00C17F75"/>
    <w:rsid w:val="00C4616B"/>
    <w:rsid w:val="00C67487"/>
    <w:rsid w:val="00CC179B"/>
    <w:rsid w:val="00D10E69"/>
    <w:rsid w:val="00D753D4"/>
    <w:rsid w:val="00DD4FF9"/>
    <w:rsid w:val="00F55548"/>
    <w:rsid w:val="13CB7A02"/>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14:defaultImageDpi w14:val="33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nb-NO" w:eastAsia="en-US"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spacing w:line="440" w:lineRule="exact"/>
      <w:ind w:firstLine="600" w:firstLineChars="200"/>
      <w:jc w:val="center"/>
    </w:pPr>
    <w:rPr>
      <w:rFonts w:eastAsia="楷体_GB2312"/>
      <w:sz w:val="30"/>
    </w:rPr>
  </w:style>
  <w:style w:type="paragraph" w:styleId="3">
    <w:name w:val="footer"/>
    <w:basedOn w:val="1"/>
    <w:link w:val="20"/>
    <w:unhideWhenUsed/>
    <w:uiPriority w:val="99"/>
    <w:pPr>
      <w:tabs>
        <w:tab w:val="center" w:pos="4513"/>
        <w:tab w:val="right" w:pos="9026"/>
      </w:tabs>
      <w:spacing w:after="0" w:line="240" w:lineRule="auto"/>
    </w:pPr>
  </w:style>
  <w:style w:type="paragraph" w:styleId="4">
    <w:name w:val="header"/>
    <w:basedOn w:val="1"/>
    <w:link w:val="19"/>
    <w:unhideWhenUsed/>
    <w:uiPriority w:val="99"/>
    <w:pPr>
      <w:tabs>
        <w:tab w:val="center" w:pos="4513"/>
        <w:tab w:val="right" w:pos="9026"/>
      </w:tabs>
      <w:spacing w:after="0" w:line="240" w:lineRule="auto"/>
    </w:pPr>
  </w:style>
  <w:style w:type="paragraph" w:customStyle="1" w:styleId="7">
    <w:name w:val="Els-Abstract-head"/>
    <w:next w:val="1"/>
    <w:uiPriority w:val="0"/>
    <w:pPr>
      <w:keepNext/>
      <w:pBdr>
        <w:top w:val="single" w:color="auto" w:sz="4" w:space="10"/>
      </w:pBdr>
      <w:suppressAutoHyphens/>
      <w:spacing w:after="220" w:line="220" w:lineRule="exact"/>
    </w:pPr>
    <w:rPr>
      <w:rFonts w:ascii="Times New Roman" w:hAnsi="Times New Roman" w:eastAsia="宋体" w:cs="Times New Roman"/>
      <w:b/>
      <w:sz w:val="18"/>
      <w:szCs w:val="20"/>
      <w:lang w:val="en-US" w:eastAsia="en-US" w:bidi="ar-SA"/>
    </w:rPr>
  </w:style>
  <w:style w:type="paragraph" w:customStyle="1" w:styleId="8">
    <w:name w:val="Els-Abstract-text"/>
    <w:next w:val="1"/>
    <w:uiPriority w:val="0"/>
    <w:pPr>
      <w:spacing w:after="0" w:line="220" w:lineRule="exact"/>
      <w:jc w:val="both"/>
    </w:pPr>
    <w:rPr>
      <w:rFonts w:ascii="Times New Roman" w:hAnsi="Times New Roman" w:eastAsia="宋体" w:cs="Times New Roman"/>
      <w:sz w:val="18"/>
      <w:szCs w:val="20"/>
      <w:lang w:val="en-US" w:eastAsia="en-US" w:bidi="ar-SA"/>
    </w:rPr>
  </w:style>
  <w:style w:type="paragraph" w:customStyle="1" w:styleId="9">
    <w:name w:val="Els-Affiliation"/>
    <w:next w:val="7"/>
    <w:uiPriority w:val="0"/>
    <w:pPr>
      <w:suppressAutoHyphens/>
      <w:spacing w:after="0" w:line="200" w:lineRule="exact"/>
      <w:jc w:val="center"/>
    </w:pPr>
    <w:rPr>
      <w:rFonts w:ascii="Times New Roman" w:hAnsi="Times New Roman" w:eastAsia="宋体" w:cs="Times New Roman"/>
      <w:i/>
      <w:sz w:val="16"/>
      <w:szCs w:val="20"/>
      <w:lang w:val="en-US" w:eastAsia="en-US" w:bidi="ar-SA"/>
    </w:rPr>
  </w:style>
  <w:style w:type="paragraph" w:customStyle="1" w:styleId="10">
    <w:name w:val="Els-Author"/>
    <w:next w:val="1"/>
    <w:uiPriority w:val="0"/>
    <w:pPr>
      <w:keepNext/>
      <w:suppressAutoHyphens/>
      <w:spacing w:after="160" w:line="300" w:lineRule="exact"/>
      <w:jc w:val="center"/>
    </w:pPr>
    <w:rPr>
      <w:rFonts w:ascii="Times New Roman" w:hAnsi="Times New Roman" w:eastAsia="宋体" w:cs="Times New Roman"/>
      <w:sz w:val="26"/>
      <w:szCs w:val="20"/>
      <w:lang w:val="en-US" w:eastAsia="en-US" w:bidi="ar-SA"/>
    </w:rPr>
  </w:style>
  <w:style w:type="paragraph" w:customStyle="1" w:styleId="11">
    <w:name w:val="Els-footnote"/>
    <w:uiPriority w:val="0"/>
    <w:pPr>
      <w:keepLines/>
      <w:widowControl w:val="0"/>
      <w:spacing w:after="0" w:line="200" w:lineRule="exact"/>
      <w:ind w:firstLine="245"/>
      <w:jc w:val="both"/>
    </w:pPr>
    <w:rPr>
      <w:rFonts w:ascii="Times New Roman" w:hAnsi="Times New Roman" w:eastAsia="宋体" w:cs="Times New Roman"/>
      <w:sz w:val="16"/>
      <w:szCs w:val="20"/>
      <w:lang w:val="en-US" w:eastAsia="en-US" w:bidi="ar-SA"/>
    </w:rPr>
  </w:style>
  <w:style w:type="paragraph" w:customStyle="1" w:styleId="12">
    <w:name w:val="Els-Title"/>
    <w:next w:val="10"/>
    <w:autoRedefine/>
    <w:uiPriority w:val="0"/>
    <w:pPr>
      <w:suppressAutoHyphens/>
      <w:spacing w:after="240" w:line="400" w:lineRule="exact"/>
      <w:jc w:val="center"/>
    </w:pPr>
    <w:rPr>
      <w:rFonts w:ascii="Times New Roman" w:hAnsi="Times New Roman" w:eastAsia="宋体" w:cs="Times New Roman"/>
      <w:sz w:val="32"/>
      <w:szCs w:val="32"/>
      <w:lang w:val="en-US" w:eastAsia="en-US" w:bidi="ar-SA"/>
    </w:rPr>
  </w:style>
  <w:style w:type="paragraph" w:customStyle="1" w:styleId="13">
    <w:name w:val="DocHead"/>
    <w:uiPriority w:val="0"/>
    <w:pPr>
      <w:spacing w:before="240" w:after="240" w:line="240" w:lineRule="auto"/>
      <w:jc w:val="center"/>
    </w:pPr>
    <w:rPr>
      <w:rFonts w:ascii="Times New Roman" w:hAnsi="Times New Roman" w:eastAsia="宋体" w:cs="Times New Roman"/>
      <w:sz w:val="24"/>
      <w:szCs w:val="20"/>
      <w:lang w:val="en-US" w:eastAsia="en-US" w:bidi="ar-SA"/>
    </w:rPr>
  </w:style>
  <w:style w:type="paragraph" w:customStyle="1" w:styleId="14">
    <w:name w:val="Els-1storder-head"/>
    <w:next w:val="1"/>
    <w:uiPriority w:val="0"/>
    <w:pPr>
      <w:keepNext/>
      <w:numPr>
        <w:ilvl w:val="0"/>
        <w:numId w:val="1"/>
      </w:numPr>
      <w:suppressAutoHyphens/>
      <w:spacing w:before="240" w:after="240" w:line="240" w:lineRule="exact"/>
    </w:pPr>
    <w:rPr>
      <w:rFonts w:ascii="Times New Roman" w:hAnsi="Times New Roman" w:eastAsia="宋体" w:cs="Times New Roman"/>
      <w:b/>
      <w:sz w:val="20"/>
      <w:szCs w:val="20"/>
      <w:lang w:val="en-US" w:eastAsia="en-US" w:bidi="ar-SA"/>
    </w:rPr>
  </w:style>
  <w:style w:type="paragraph" w:customStyle="1" w:styleId="15">
    <w:name w:val="Els-2ndorder-head"/>
    <w:next w:val="1"/>
    <w:uiPriority w:val="0"/>
    <w:pPr>
      <w:keepNext/>
      <w:numPr>
        <w:ilvl w:val="1"/>
        <w:numId w:val="1"/>
      </w:numPr>
      <w:suppressAutoHyphens/>
      <w:spacing w:before="240" w:after="240" w:line="240" w:lineRule="exact"/>
    </w:pPr>
    <w:rPr>
      <w:rFonts w:ascii="Times New Roman" w:hAnsi="Times New Roman" w:eastAsia="宋体" w:cs="Times New Roman"/>
      <w:i/>
      <w:sz w:val="20"/>
      <w:szCs w:val="20"/>
      <w:lang w:val="en-US" w:eastAsia="en-US" w:bidi="ar-SA"/>
    </w:rPr>
  </w:style>
  <w:style w:type="paragraph" w:customStyle="1" w:styleId="16">
    <w:name w:val="Els-3rdorder-head"/>
    <w:next w:val="1"/>
    <w:uiPriority w:val="0"/>
    <w:pPr>
      <w:keepNext/>
      <w:numPr>
        <w:ilvl w:val="2"/>
        <w:numId w:val="1"/>
      </w:numPr>
      <w:suppressAutoHyphens/>
      <w:spacing w:before="240" w:after="0" w:line="240" w:lineRule="exact"/>
    </w:pPr>
    <w:rPr>
      <w:rFonts w:ascii="Times New Roman" w:hAnsi="Times New Roman" w:eastAsia="宋体" w:cs="Times New Roman"/>
      <w:i/>
      <w:sz w:val="20"/>
      <w:szCs w:val="20"/>
      <w:lang w:val="en-US" w:eastAsia="en-US" w:bidi="ar-SA"/>
    </w:rPr>
  </w:style>
  <w:style w:type="paragraph" w:customStyle="1" w:styleId="17">
    <w:name w:val="Els-4thorder-head"/>
    <w:next w:val="1"/>
    <w:uiPriority w:val="0"/>
    <w:pPr>
      <w:keepNext/>
      <w:numPr>
        <w:ilvl w:val="3"/>
        <w:numId w:val="1"/>
      </w:numPr>
      <w:suppressAutoHyphens/>
      <w:spacing w:before="240" w:after="0" w:line="240" w:lineRule="exact"/>
    </w:pPr>
    <w:rPr>
      <w:rFonts w:ascii="Times New Roman" w:hAnsi="Times New Roman" w:eastAsia="宋体" w:cs="Times New Roman"/>
      <w:i/>
      <w:sz w:val="20"/>
      <w:szCs w:val="20"/>
      <w:lang w:val="en-US" w:eastAsia="en-US" w:bidi="ar-SA"/>
    </w:rPr>
  </w:style>
  <w:style w:type="paragraph" w:customStyle="1" w:styleId="18">
    <w:name w:val="Els-keywords"/>
    <w:next w:val="1"/>
    <w:uiPriority w:val="0"/>
    <w:pPr>
      <w:pBdr>
        <w:bottom w:val="single" w:color="auto" w:sz="4" w:space="10"/>
      </w:pBdr>
      <w:spacing w:after="200" w:line="200" w:lineRule="exact"/>
    </w:pPr>
    <w:rPr>
      <w:rFonts w:ascii="Times New Roman" w:hAnsi="Times New Roman" w:eastAsia="宋体" w:cs="Times New Roman"/>
      <w:sz w:val="16"/>
      <w:szCs w:val="20"/>
      <w:lang w:val="en-US" w:eastAsia="en-US" w:bidi="ar-SA"/>
    </w:rPr>
  </w:style>
  <w:style w:type="character" w:customStyle="1" w:styleId="19">
    <w:name w:val="Header Char"/>
    <w:basedOn w:val="6"/>
    <w:link w:val="4"/>
    <w:uiPriority w:val="99"/>
  </w:style>
  <w:style w:type="character" w:customStyle="1" w:styleId="20">
    <w:name w:val="Footer Char"/>
    <w:basedOn w:val="6"/>
    <w:link w:val="3"/>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datastoreItem>
</file>

<file path=customXml/itemProps2.xml><?xml version="1.0" encoding="utf-8"?>
<ds:datastoreItem xmlns:ds="http://schemas.openxmlformats.org/officeDocument/2006/customXml" ds:itemID="{726F0403-E370-494D-B765-20D2FD758934}">
  <ds:schemaRefs/>
</ds:datastoreItem>
</file>

<file path=customXml/itemProps3.xml><?xml version="1.0" encoding="utf-8"?>
<ds:datastoreItem xmlns:ds="http://schemas.openxmlformats.org/officeDocument/2006/customXml" ds:itemID="{136EFCDA-EE0B-4F8D-B7B2-B495F7F5CC5A}">
  <ds:schemaRefs/>
</ds:datastoreItem>
</file>

<file path=customXml/itemProps4.xml><?xml version="1.0" encoding="utf-8"?>
<ds:datastoreItem xmlns:ds="http://schemas.openxmlformats.org/officeDocument/2006/customXml" ds:itemID="{49A82A5F-72B7-4901-A265-423F78BF8809}">
  <ds:schemaRefs/>
</ds:datastoreItem>
</file>

<file path=docProps/app.xml><?xml version="1.0" encoding="utf-8"?>
<Properties xmlns="http://schemas.openxmlformats.org/officeDocument/2006/extended-properties" xmlns:vt="http://schemas.openxmlformats.org/officeDocument/2006/docPropsVTypes">
  <Template>Normal</Template>
  <Company>NTNU</Company>
  <Pages>1</Pages>
  <Words>183</Words>
  <Characters>1072</Characters>
  <Lines>8</Lines>
  <Paragraphs>2</Paragraphs>
  <TotalTime>8</TotalTime>
  <ScaleCrop>false</ScaleCrop>
  <LinksUpToDate>false</LinksUpToDate>
  <CharactersWithSpaces>1245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2026-02-04T06:37:00Z</dcterms:created>
  <dc:creator>Peter Karlsaune</dc:creator>
  <cp:lastModifiedBy>Hongwei</cp:lastModifiedBy>
  <dcterms:modified xsi:type="dcterms:W3CDTF">2026-05-13T07:33:41Z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KSOTemplateDocerSaveRecord">
    <vt:lpwstr>eyJoZGlkIjoiYzA5ZTZjYWFhYTM0MDIxY2MwZTA3ODg2ZGFlNDBhOTUiLCJ1c2VySWQiOiIzODI0ODU3NDEifQ==</vt:lpwstr>
  </property>
  <property fmtid="{D5CDD505-2E9C-101B-9397-08002B2CF9AE}" pid="4" name="KSOProductBuildVer">
    <vt:lpwstr>2052-12.1.0.25865</vt:lpwstr>
  </property>
  <property fmtid="{D5CDD505-2E9C-101B-9397-08002B2CF9AE}" pid="5" name="ICV">
    <vt:lpwstr>BAD1716D3FCE4D81BFF71513CEDBBAC0_13</vt:lpwstr>
  </property>
</Properties>
</file>