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1D4A8ECE" w14:textId="77777777" w:rsidR="00DC2EAE" w:rsidRPr="00DC2EAE" w:rsidRDefault="00DC2EAE" w:rsidP="00DC2EAE">
      <w:pPr>
        <w:spacing w:after="0" w:line="276" w:lineRule="auto"/>
        <w:jc w:val="center"/>
        <w:rPr>
          <w:rFonts w:ascii="Times New Roman" w:hAnsi="Times New Roman" w:cs="Times New Roman"/>
          <w:b/>
          <w:bCs/>
          <w:sz w:val="32"/>
          <w:szCs w:val="32"/>
        </w:rPr>
      </w:pPr>
      <w:r w:rsidRPr="00DC2EAE">
        <w:rPr>
          <w:rFonts w:ascii="Times New Roman" w:hAnsi="Times New Roman" w:cs="Times New Roman"/>
          <w:b/>
          <w:bCs/>
          <w:sz w:val="32"/>
          <w:szCs w:val="32"/>
        </w:rPr>
        <w:t>Enhanced Functional Properties of Pectin from Neghal Date Fruit (</w:t>
      </w:r>
      <w:r w:rsidRPr="00DC2EAE">
        <w:rPr>
          <w:rFonts w:ascii="Times New Roman" w:hAnsi="Times New Roman" w:cs="Times New Roman"/>
          <w:b/>
          <w:bCs/>
          <w:i/>
          <w:iCs/>
          <w:sz w:val="32"/>
          <w:szCs w:val="32"/>
        </w:rPr>
        <w:t>Phoenix dactylifera</w:t>
      </w:r>
      <w:r w:rsidRPr="00DC2EAE">
        <w:rPr>
          <w:rFonts w:ascii="Times New Roman" w:hAnsi="Times New Roman" w:cs="Times New Roman"/>
          <w:b/>
          <w:bCs/>
          <w:sz w:val="32"/>
          <w:szCs w:val="32"/>
        </w:rPr>
        <w:t xml:space="preserve"> L.) Cultivar Using Ultrasound and Microwave Technologies: A Characterization Study</w:t>
      </w:r>
    </w:p>
    <w:p w14:paraId="6FC3102E" w14:textId="77777777" w:rsidR="00DC2EAE" w:rsidRPr="00A75B0E" w:rsidRDefault="00DC2EAE" w:rsidP="00DC2EAE">
      <w:pPr>
        <w:spacing w:after="0" w:line="276" w:lineRule="auto"/>
        <w:jc w:val="center"/>
        <w:rPr>
          <w:rFonts w:asciiTheme="majorBidi" w:hAnsiTheme="majorBidi" w:cstheme="majorBidi"/>
          <w:sz w:val="24"/>
          <w:szCs w:val="24"/>
          <w:lang w:val="en-US"/>
        </w:rPr>
      </w:pPr>
      <w:r w:rsidRPr="00A75B0E">
        <w:rPr>
          <w:rFonts w:asciiTheme="majorBidi" w:hAnsiTheme="majorBidi" w:cstheme="majorBidi"/>
          <w:sz w:val="24"/>
          <w:szCs w:val="24"/>
          <w:lang w:val="en-US"/>
        </w:rPr>
        <w:t>Athira Ajith</w:t>
      </w:r>
      <w:r w:rsidRPr="001D63CD">
        <w:rPr>
          <w:rFonts w:asciiTheme="majorBidi" w:hAnsiTheme="majorBidi" w:cstheme="majorBidi"/>
          <w:sz w:val="24"/>
          <w:szCs w:val="24"/>
          <w:vertAlign w:val="superscript"/>
          <w:lang w:val="en-US"/>
        </w:rPr>
        <w:t>1</w:t>
      </w:r>
      <w:r w:rsidRPr="00A75B0E">
        <w:rPr>
          <w:rFonts w:asciiTheme="majorBidi" w:hAnsiTheme="majorBidi" w:cstheme="majorBidi"/>
          <w:sz w:val="24"/>
          <w:szCs w:val="24"/>
          <w:lang w:val="en-US"/>
        </w:rPr>
        <w:t xml:space="preserve">, </w:t>
      </w:r>
      <w:r>
        <w:rPr>
          <w:rFonts w:asciiTheme="majorBidi" w:hAnsiTheme="majorBidi" w:cstheme="majorBidi"/>
          <w:sz w:val="24"/>
          <w:szCs w:val="24"/>
          <w:lang w:val="en-US"/>
        </w:rPr>
        <w:t>Yunda Maymanah Rahmadewi</w:t>
      </w:r>
      <w:r>
        <w:rPr>
          <w:rFonts w:asciiTheme="majorBidi" w:hAnsiTheme="majorBidi" w:cstheme="majorBidi"/>
          <w:sz w:val="24"/>
          <w:szCs w:val="24"/>
          <w:vertAlign w:val="superscript"/>
          <w:lang w:val="en-US"/>
        </w:rPr>
        <w:t>1</w:t>
      </w:r>
      <w:r>
        <w:rPr>
          <w:rFonts w:asciiTheme="majorBidi" w:hAnsiTheme="majorBidi" w:cstheme="majorBidi"/>
          <w:sz w:val="24"/>
          <w:szCs w:val="24"/>
          <w:lang w:val="en-US"/>
        </w:rPr>
        <w:t xml:space="preserve">, </w:t>
      </w:r>
      <w:r>
        <w:rPr>
          <w:rFonts w:ascii="Times New Roman" w:hAnsi="Times New Roman" w:cs="Times New Roman"/>
          <w:sz w:val="24"/>
          <w:szCs w:val="24"/>
          <w:lang w:val="en-US"/>
        </w:rPr>
        <w:t xml:space="preserve">Muneeba Zubair Alam, </w:t>
      </w:r>
      <w:r w:rsidRPr="00A75B0E">
        <w:rPr>
          <w:rFonts w:asciiTheme="majorBidi" w:hAnsiTheme="majorBidi" w:cstheme="majorBidi"/>
          <w:sz w:val="24"/>
          <w:szCs w:val="24"/>
          <w:lang w:val="en-US"/>
        </w:rPr>
        <w:t xml:space="preserve">Kelvin </w:t>
      </w:r>
      <w:r>
        <w:rPr>
          <w:rFonts w:asciiTheme="majorBidi" w:hAnsiTheme="majorBidi" w:cstheme="majorBidi"/>
          <w:sz w:val="24"/>
          <w:szCs w:val="24"/>
          <w:lang w:val="en-US"/>
        </w:rPr>
        <w:t>K.</w:t>
      </w:r>
      <w:r w:rsidRPr="00A75B0E">
        <w:rPr>
          <w:rFonts w:asciiTheme="majorBidi" w:hAnsiTheme="majorBidi" w:cstheme="majorBidi"/>
          <w:sz w:val="24"/>
          <w:szCs w:val="24"/>
          <w:lang w:val="en-US"/>
        </w:rPr>
        <w:t>T</w:t>
      </w:r>
      <w:r>
        <w:rPr>
          <w:rFonts w:asciiTheme="majorBidi" w:hAnsiTheme="majorBidi" w:cstheme="majorBidi"/>
          <w:sz w:val="24"/>
          <w:szCs w:val="24"/>
          <w:lang w:val="en-US"/>
        </w:rPr>
        <w:t>.</w:t>
      </w:r>
      <w:r w:rsidRPr="00A75B0E">
        <w:rPr>
          <w:rFonts w:asciiTheme="majorBidi" w:hAnsiTheme="majorBidi" w:cstheme="majorBidi"/>
          <w:sz w:val="24"/>
          <w:szCs w:val="24"/>
          <w:lang w:val="en-US"/>
        </w:rPr>
        <w:t xml:space="preserve"> Goh</w:t>
      </w:r>
      <w:r w:rsidRPr="001D63CD">
        <w:rPr>
          <w:rFonts w:asciiTheme="majorBidi" w:hAnsiTheme="majorBidi" w:cstheme="majorBidi"/>
          <w:sz w:val="24"/>
          <w:szCs w:val="24"/>
          <w:vertAlign w:val="superscript"/>
          <w:lang w:val="en-US"/>
        </w:rPr>
        <w:t>3</w:t>
      </w:r>
      <w:r w:rsidRPr="00A75B0E">
        <w:rPr>
          <w:rFonts w:asciiTheme="majorBidi" w:hAnsiTheme="majorBidi" w:cstheme="majorBidi"/>
          <w:sz w:val="24"/>
          <w:szCs w:val="24"/>
          <w:lang w:val="en-US"/>
        </w:rPr>
        <w:t>, Afaf Kamal-Eldin</w:t>
      </w:r>
      <w:r w:rsidRPr="001D63CD">
        <w:rPr>
          <w:rFonts w:asciiTheme="majorBidi" w:hAnsiTheme="majorBidi" w:cstheme="majorBidi"/>
          <w:sz w:val="24"/>
          <w:szCs w:val="24"/>
          <w:vertAlign w:val="superscript"/>
          <w:lang w:val="en-US"/>
        </w:rPr>
        <w:t>1</w:t>
      </w:r>
      <w:r w:rsidRPr="00A75B0E">
        <w:rPr>
          <w:rFonts w:asciiTheme="majorBidi" w:hAnsiTheme="majorBidi" w:cstheme="majorBidi"/>
          <w:sz w:val="24"/>
          <w:szCs w:val="24"/>
          <w:lang w:val="en-US"/>
        </w:rPr>
        <w:t>, Oni Yuliarti</w:t>
      </w:r>
      <w:r w:rsidRPr="001D63CD">
        <w:rPr>
          <w:rFonts w:asciiTheme="majorBidi" w:hAnsiTheme="majorBidi" w:cstheme="majorBidi"/>
          <w:sz w:val="24"/>
          <w:szCs w:val="24"/>
          <w:vertAlign w:val="superscript"/>
          <w:lang w:val="en-US"/>
        </w:rPr>
        <w:t>1,2</w:t>
      </w:r>
      <w:r w:rsidRPr="00A75B0E">
        <w:rPr>
          <w:rFonts w:asciiTheme="majorBidi" w:hAnsiTheme="majorBidi" w:cstheme="majorBidi"/>
          <w:sz w:val="24"/>
          <w:szCs w:val="24"/>
          <w:lang w:val="en-US"/>
        </w:rPr>
        <w:t>*</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25AB9DA7" w14:textId="4632C78E" w:rsidR="00DC2EAE" w:rsidRPr="00DC2EAE" w:rsidRDefault="00DC2EAE" w:rsidP="00DC2EAE">
      <w:pPr>
        <w:spacing w:after="0" w:line="276" w:lineRule="auto"/>
        <w:jc w:val="center"/>
        <w:rPr>
          <w:rFonts w:asciiTheme="majorBidi" w:eastAsia="Times New Roman" w:hAnsiTheme="majorBidi" w:cstheme="majorBidi"/>
          <w:sz w:val="16"/>
          <w:szCs w:val="16"/>
          <w:lang w:eastAsia="en-GB"/>
        </w:rPr>
      </w:pPr>
      <w:r>
        <w:rPr>
          <w:rFonts w:asciiTheme="majorBidi" w:eastAsia="Times New Roman" w:hAnsiTheme="majorBidi" w:cstheme="majorBidi"/>
          <w:sz w:val="16"/>
          <w:szCs w:val="16"/>
          <w:vertAlign w:val="superscript"/>
          <w:lang w:eastAsia="en-GB"/>
        </w:rPr>
        <w:t>a</w:t>
      </w:r>
      <w:r w:rsidRPr="00DC2EAE">
        <w:rPr>
          <w:rFonts w:asciiTheme="majorBidi" w:eastAsia="Times New Roman" w:hAnsiTheme="majorBidi" w:cstheme="majorBidi"/>
          <w:sz w:val="16"/>
          <w:szCs w:val="16"/>
          <w:lang w:eastAsia="en-GB"/>
        </w:rPr>
        <w:t>Department of Food Science, College of Agriculture and Veterinary Medicine, United Arab Emirates University, Al Ain, United Arab Emirates</w:t>
      </w:r>
    </w:p>
    <w:p w14:paraId="43CBE370" w14:textId="1E0102F1" w:rsidR="00DC2EAE" w:rsidRPr="00DC2EAE" w:rsidRDefault="00DC2EAE" w:rsidP="00DC2EAE">
      <w:pPr>
        <w:spacing w:after="0" w:line="276" w:lineRule="auto"/>
        <w:jc w:val="center"/>
        <w:rPr>
          <w:rFonts w:asciiTheme="majorBidi" w:eastAsia="Times New Roman" w:hAnsiTheme="majorBidi" w:cstheme="majorBidi"/>
          <w:sz w:val="16"/>
          <w:szCs w:val="16"/>
          <w:lang w:eastAsia="en-GB"/>
        </w:rPr>
      </w:pPr>
      <w:r>
        <w:rPr>
          <w:rFonts w:asciiTheme="majorBidi" w:eastAsia="Times New Roman" w:hAnsiTheme="majorBidi" w:cstheme="majorBidi"/>
          <w:sz w:val="16"/>
          <w:szCs w:val="16"/>
          <w:vertAlign w:val="superscript"/>
          <w:lang w:eastAsia="en-GB"/>
        </w:rPr>
        <w:t>b</w:t>
      </w:r>
      <w:r w:rsidRPr="00DC2EAE">
        <w:rPr>
          <w:rFonts w:asciiTheme="majorBidi" w:eastAsia="Times New Roman" w:hAnsiTheme="majorBidi" w:cstheme="majorBidi"/>
          <w:sz w:val="16"/>
          <w:szCs w:val="16"/>
          <w:lang w:eastAsia="en-GB"/>
        </w:rPr>
        <w:t>National Water and Energy Center (NWEC), United Arab Emirates University, Al-Ain P.O. Box 15551, United Arab Emirates.</w:t>
      </w:r>
    </w:p>
    <w:p w14:paraId="7FE11C5F" w14:textId="06D7D46D" w:rsidR="00DC2EAE" w:rsidRPr="00DC2EAE" w:rsidRDefault="00DC2EAE" w:rsidP="00DC2EAE">
      <w:pPr>
        <w:spacing w:after="0" w:line="276" w:lineRule="auto"/>
        <w:jc w:val="center"/>
        <w:rPr>
          <w:rFonts w:asciiTheme="majorBidi" w:hAnsiTheme="majorBidi" w:cstheme="majorBidi"/>
          <w:sz w:val="16"/>
          <w:szCs w:val="16"/>
        </w:rPr>
      </w:pPr>
      <w:r>
        <w:rPr>
          <w:rFonts w:asciiTheme="majorBidi" w:hAnsiTheme="majorBidi" w:cstheme="majorBidi"/>
          <w:sz w:val="16"/>
          <w:szCs w:val="16"/>
          <w:vertAlign w:val="superscript"/>
        </w:rPr>
        <w:t>c</w:t>
      </w:r>
      <w:r w:rsidRPr="00DC2EAE">
        <w:rPr>
          <w:rFonts w:asciiTheme="majorBidi" w:hAnsiTheme="majorBidi" w:cstheme="majorBidi"/>
          <w:sz w:val="16"/>
          <w:szCs w:val="16"/>
        </w:rPr>
        <w:t>School of Food Technology and Natural Sciences, Massey University, Palmerston North, New Zealand</w:t>
      </w:r>
    </w:p>
    <w:p w14:paraId="7715227C" w14:textId="77777777" w:rsidR="00431340" w:rsidRDefault="00431340" w:rsidP="00665C88">
      <w:pPr>
        <w:pStyle w:val="Els-Abstract-head"/>
        <w:spacing w:before="120" w:after="0" w:line="240" w:lineRule="auto"/>
        <w:rPr>
          <w:sz w:val="20"/>
        </w:rPr>
      </w:pPr>
      <w:r w:rsidRPr="00BF77A7">
        <w:rPr>
          <w:sz w:val="20"/>
        </w:rPr>
        <w:t>Abstract</w:t>
      </w:r>
    </w:p>
    <w:p w14:paraId="6BE82CBE" w14:textId="77777777" w:rsidR="00DC2EAE" w:rsidRPr="00DC2EAE" w:rsidRDefault="00DC2EAE" w:rsidP="00DC2EAE">
      <w:pPr>
        <w:rPr>
          <w:lang w:val="en-US"/>
        </w:rPr>
      </w:pPr>
    </w:p>
    <w:p w14:paraId="2519B887" w14:textId="16B1817B" w:rsidR="00DC2EAE" w:rsidRPr="00DC2EAE" w:rsidRDefault="00DC2EAE" w:rsidP="00DC2EAE">
      <w:pPr>
        <w:spacing w:line="360" w:lineRule="auto"/>
        <w:jc w:val="both"/>
        <w:rPr>
          <w:rFonts w:ascii="Times New Roman" w:hAnsi="Times New Roman" w:cs="Times New Roman"/>
          <w:sz w:val="20"/>
          <w:szCs w:val="20"/>
        </w:rPr>
      </w:pPr>
      <w:r w:rsidRPr="00DC2EAE">
        <w:rPr>
          <w:rFonts w:ascii="Times New Roman" w:hAnsi="Times New Roman" w:cs="Times New Roman"/>
          <w:sz w:val="20"/>
          <w:szCs w:val="20"/>
        </w:rPr>
        <w:t>Research into pectin from alternative sources is attracting growing interest as a way to reduce reliance on traditional sources, minimize agricultural waste, and explore materials with unique functional properties</w:t>
      </w:r>
      <w:r w:rsidR="00F2466A">
        <w:rPr>
          <w:rFonts w:ascii="Times New Roman" w:hAnsi="Times New Roman" w:cs="Times New Roman"/>
          <w:sz w:val="20"/>
          <w:szCs w:val="20"/>
        </w:rPr>
        <w:t xml:space="preserve"> [1]</w:t>
      </w:r>
      <w:r w:rsidRPr="00DC2EAE">
        <w:rPr>
          <w:rFonts w:ascii="Times New Roman" w:hAnsi="Times New Roman" w:cs="Times New Roman"/>
          <w:sz w:val="20"/>
          <w:szCs w:val="20"/>
        </w:rPr>
        <w:t>. Pectin was isolated from Neghal date fruit cultivar using Microwave-assisted (MAEN) and Ultrasound-assisted extraction (UAEN) techniques and characterized for its physicochemical properties</w:t>
      </w:r>
      <w:r w:rsidR="00F2466A">
        <w:rPr>
          <w:rFonts w:ascii="Times New Roman" w:hAnsi="Times New Roman" w:cs="Times New Roman"/>
          <w:sz w:val="20"/>
          <w:szCs w:val="20"/>
        </w:rPr>
        <w:t xml:space="preserve"> [2], [3], [4]</w:t>
      </w:r>
      <w:r w:rsidRPr="00DC2EAE">
        <w:rPr>
          <w:rFonts w:ascii="Times New Roman" w:hAnsi="Times New Roman" w:cs="Times New Roman"/>
          <w:sz w:val="20"/>
          <w:szCs w:val="20"/>
        </w:rPr>
        <w:t xml:space="preserve">. UAEN yielded higher pectin recovery (3 %) compared to MAEN (2.2 %), suggesting UAEN was more effective in releasing pectin from the fruit cell wall matrix than MAEN. The higher recovery is due to the improved cell wall disruption by the cavitation of ultrasound and enhanced mass transfer during the extraction process. The UAEN extracted pectin exhibited higher intrinsic viscosity and molecular weight (IV: 5.6, Mw: 240 kDa) compared to MAEN extracted pectin (IV: 5.32, Mw: 227 kDa), implying less degradation of pectin when UAEN extraction method was applied.  A similar degree of esterification (DE) was observed in both MAEN (DE: 22%) and UAEN (DE: 21%) extracted pectins, indicating that both samples can be classified as low methoxyl pectins (LMP). The results showed that the use of ultrasound promoted a better extraction yield with preserved functional properties.  </w:t>
      </w:r>
    </w:p>
    <w:p w14:paraId="30727D31" w14:textId="77777777" w:rsidR="00DC2EAE" w:rsidRPr="00DC2EAE" w:rsidRDefault="00DC2EAE" w:rsidP="00DC2EAE">
      <w:pPr>
        <w:spacing w:line="360" w:lineRule="auto"/>
        <w:jc w:val="both"/>
        <w:rPr>
          <w:rFonts w:ascii="Times New Roman" w:hAnsi="Times New Roman" w:cs="Times New Roman"/>
          <w:i/>
          <w:iCs/>
          <w:sz w:val="20"/>
          <w:szCs w:val="20"/>
        </w:rPr>
      </w:pPr>
      <w:r w:rsidRPr="00DC2EAE">
        <w:rPr>
          <w:rFonts w:ascii="Times New Roman" w:hAnsi="Times New Roman" w:cs="Times New Roman"/>
          <w:b/>
          <w:bCs/>
          <w:sz w:val="20"/>
          <w:szCs w:val="20"/>
        </w:rPr>
        <w:t>Keywords</w:t>
      </w:r>
      <w:r w:rsidRPr="00DC2EAE">
        <w:rPr>
          <w:rFonts w:ascii="Times New Roman" w:hAnsi="Times New Roman" w:cs="Times New Roman"/>
          <w:sz w:val="20"/>
          <w:szCs w:val="20"/>
        </w:rPr>
        <w:t xml:space="preserve">: </w:t>
      </w:r>
      <w:r w:rsidRPr="00DC2EAE">
        <w:rPr>
          <w:rFonts w:ascii="Times New Roman" w:hAnsi="Times New Roman" w:cs="Times New Roman"/>
          <w:i/>
          <w:iCs/>
          <w:sz w:val="20"/>
          <w:szCs w:val="20"/>
        </w:rPr>
        <w:t>Pectin, Ultrasound Assisted Extraction, Microwave Assisted Extraction, Low Methoxyl Pectin</w:t>
      </w:r>
    </w:p>
    <w:p w14:paraId="72C95298" w14:textId="77777777" w:rsidR="00DC2EAE" w:rsidRPr="00DC2EAE" w:rsidRDefault="00DC2EAE" w:rsidP="00DC2EAE">
      <w:pPr>
        <w:spacing w:line="360" w:lineRule="auto"/>
        <w:jc w:val="both"/>
        <w:rPr>
          <w:rFonts w:ascii="Times New Roman" w:hAnsi="Times New Roman" w:cs="Times New Roman"/>
          <w:sz w:val="20"/>
          <w:szCs w:val="20"/>
        </w:rPr>
      </w:pPr>
    </w:p>
    <w:p w14:paraId="7687299F" w14:textId="77777777" w:rsidR="007679DD" w:rsidRPr="0078067E" w:rsidRDefault="007679DD" w:rsidP="007679DD">
      <w:pPr>
        <w:rPr>
          <w:rFonts w:ascii="Times New Roman" w:hAnsi="Times New Roman" w:cs="Times New Roman"/>
          <w:sz w:val="20"/>
          <w:szCs w:val="20"/>
          <w:lang w:val="en-US" w:eastAsia="zh-CN"/>
        </w:rPr>
      </w:pPr>
    </w:p>
    <w:p w14:paraId="4A30115E" w14:textId="4D803855" w:rsidR="00DC2EAE" w:rsidRPr="00C42F9F" w:rsidRDefault="002A0A1C" w:rsidP="00C42F9F">
      <w:pPr>
        <w:pStyle w:val="Els-keywords"/>
        <w:spacing w:after="120" w:line="240" w:lineRule="auto"/>
        <w:rPr>
          <w:b/>
          <w:sz w:val="20"/>
        </w:rPr>
      </w:pPr>
      <w:r w:rsidRPr="00C67487">
        <w:rPr>
          <w:b/>
          <w:sz w:val="20"/>
        </w:rPr>
        <w:t>References</w:t>
      </w:r>
    </w:p>
    <w:p w14:paraId="3095B014" w14:textId="77777777" w:rsidR="00F2466A" w:rsidRPr="00F2466A" w:rsidRDefault="00F2466A" w:rsidP="00F2466A">
      <w:pPr>
        <w:autoSpaceDE w:val="0"/>
        <w:autoSpaceDN w:val="0"/>
        <w:ind w:hanging="640"/>
        <w:rPr>
          <w:rFonts w:ascii="Times New Roman" w:eastAsia="Times New Roman" w:hAnsi="Times New Roman" w:cs="Times New Roman"/>
          <w:color w:val="000000"/>
          <w:sz w:val="20"/>
          <w:szCs w:val="20"/>
        </w:rPr>
      </w:pPr>
      <w:r w:rsidRPr="00F2466A">
        <w:rPr>
          <w:rFonts w:ascii="Times New Roman" w:eastAsia="Times New Roman" w:hAnsi="Times New Roman" w:cs="Times New Roman"/>
          <w:color w:val="000000"/>
          <w:sz w:val="20"/>
          <w:szCs w:val="20"/>
        </w:rPr>
        <w:t>[1]</w:t>
      </w:r>
      <w:r w:rsidRPr="00F2466A">
        <w:rPr>
          <w:rFonts w:ascii="Times New Roman" w:eastAsia="Times New Roman" w:hAnsi="Times New Roman" w:cs="Times New Roman"/>
          <w:color w:val="000000"/>
          <w:sz w:val="20"/>
          <w:szCs w:val="20"/>
        </w:rPr>
        <w:tab/>
        <w:t xml:space="preserve">O. Yuliarti, S. Y. Chong, and K. K. T. Goh, “Physicochemical properties of pectin from green jelly leaf (Cyclea barbata Miers),” </w:t>
      </w:r>
      <w:r w:rsidRPr="00F2466A">
        <w:rPr>
          <w:rFonts w:ascii="Times New Roman" w:eastAsia="Times New Roman" w:hAnsi="Times New Roman" w:cs="Times New Roman"/>
          <w:i/>
          <w:iCs/>
          <w:color w:val="000000"/>
          <w:sz w:val="20"/>
          <w:szCs w:val="20"/>
        </w:rPr>
        <w:t>Int. J. Biol. Macromol.</w:t>
      </w:r>
      <w:r w:rsidRPr="00F2466A">
        <w:rPr>
          <w:rFonts w:ascii="Times New Roman" w:eastAsia="Times New Roman" w:hAnsi="Times New Roman" w:cs="Times New Roman"/>
          <w:color w:val="000000"/>
          <w:sz w:val="20"/>
          <w:szCs w:val="20"/>
        </w:rPr>
        <w:t>, vol. 103, pp. 1146–1154, 2017.</w:t>
      </w:r>
    </w:p>
    <w:p w14:paraId="7990CDAC" w14:textId="77777777" w:rsidR="00F2466A" w:rsidRPr="00F2466A" w:rsidRDefault="00F2466A" w:rsidP="00F2466A">
      <w:pPr>
        <w:autoSpaceDE w:val="0"/>
        <w:autoSpaceDN w:val="0"/>
        <w:ind w:hanging="640"/>
        <w:rPr>
          <w:rFonts w:ascii="Times New Roman" w:eastAsia="Times New Roman" w:hAnsi="Times New Roman" w:cs="Times New Roman"/>
          <w:color w:val="000000"/>
          <w:sz w:val="20"/>
          <w:szCs w:val="20"/>
        </w:rPr>
      </w:pPr>
      <w:r w:rsidRPr="00F2466A">
        <w:rPr>
          <w:rFonts w:ascii="Times New Roman" w:eastAsia="Times New Roman" w:hAnsi="Times New Roman" w:cs="Times New Roman"/>
          <w:color w:val="000000"/>
          <w:sz w:val="20"/>
          <w:szCs w:val="20"/>
        </w:rPr>
        <w:t>[2]</w:t>
      </w:r>
      <w:r w:rsidRPr="00F2466A">
        <w:rPr>
          <w:rFonts w:ascii="Times New Roman" w:eastAsia="Times New Roman" w:hAnsi="Times New Roman" w:cs="Times New Roman"/>
          <w:color w:val="000000"/>
          <w:sz w:val="20"/>
          <w:szCs w:val="20"/>
        </w:rPr>
        <w:tab/>
        <w:t xml:space="preserve">A. J. Subhash </w:t>
      </w:r>
      <w:r w:rsidRPr="00F2466A">
        <w:rPr>
          <w:rFonts w:ascii="Times New Roman" w:eastAsia="Times New Roman" w:hAnsi="Times New Roman" w:cs="Times New Roman"/>
          <w:i/>
          <w:iCs/>
          <w:color w:val="000000"/>
          <w:sz w:val="20"/>
          <w:szCs w:val="20"/>
        </w:rPr>
        <w:t>et al.</w:t>
      </w:r>
      <w:r w:rsidRPr="00F2466A">
        <w:rPr>
          <w:rFonts w:ascii="Times New Roman" w:eastAsia="Times New Roman" w:hAnsi="Times New Roman" w:cs="Times New Roman"/>
          <w:color w:val="000000"/>
          <w:sz w:val="20"/>
          <w:szCs w:val="20"/>
        </w:rPr>
        <w:t xml:space="preserve">, “Bioactive properties and gut microbiota modulation by date seed polysaccharides extracted using ultrasound-assisted deep eutectic solvent,” </w:t>
      </w:r>
      <w:r w:rsidRPr="00F2466A">
        <w:rPr>
          <w:rFonts w:ascii="Times New Roman" w:eastAsia="Times New Roman" w:hAnsi="Times New Roman" w:cs="Times New Roman"/>
          <w:i/>
          <w:iCs/>
          <w:color w:val="000000"/>
          <w:sz w:val="20"/>
          <w:szCs w:val="20"/>
        </w:rPr>
        <w:t>Food Chem. X</w:t>
      </w:r>
      <w:r w:rsidRPr="00F2466A">
        <w:rPr>
          <w:rFonts w:ascii="Times New Roman" w:eastAsia="Times New Roman" w:hAnsi="Times New Roman" w:cs="Times New Roman"/>
          <w:color w:val="000000"/>
          <w:sz w:val="20"/>
          <w:szCs w:val="20"/>
        </w:rPr>
        <w:t>, vol. 22, p. 101354, 2024.</w:t>
      </w:r>
    </w:p>
    <w:p w14:paraId="432F3A97" w14:textId="77777777" w:rsidR="00F2466A" w:rsidRPr="00F2466A" w:rsidRDefault="00F2466A" w:rsidP="00F2466A">
      <w:pPr>
        <w:autoSpaceDE w:val="0"/>
        <w:autoSpaceDN w:val="0"/>
        <w:ind w:hanging="640"/>
        <w:rPr>
          <w:rFonts w:ascii="Times New Roman" w:eastAsia="Times New Roman" w:hAnsi="Times New Roman" w:cs="Times New Roman"/>
          <w:color w:val="000000"/>
          <w:sz w:val="20"/>
          <w:szCs w:val="20"/>
        </w:rPr>
      </w:pPr>
      <w:r w:rsidRPr="00F2466A">
        <w:rPr>
          <w:rFonts w:ascii="Times New Roman" w:eastAsia="Times New Roman" w:hAnsi="Times New Roman" w:cs="Times New Roman"/>
          <w:color w:val="000000"/>
          <w:sz w:val="20"/>
          <w:szCs w:val="20"/>
        </w:rPr>
        <w:t>[3]</w:t>
      </w:r>
      <w:r w:rsidRPr="00F2466A">
        <w:rPr>
          <w:rFonts w:ascii="Times New Roman" w:eastAsia="Times New Roman" w:hAnsi="Times New Roman" w:cs="Times New Roman"/>
          <w:color w:val="000000"/>
          <w:sz w:val="20"/>
          <w:szCs w:val="20"/>
        </w:rPr>
        <w:tab/>
        <w:t xml:space="preserve">M. P. Arachchi </w:t>
      </w:r>
      <w:r w:rsidRPr="00F2466A">
        <w:rPr>
          <w:rFonts w:ascii="Times New Roman" w:eastAsia="Times New Roman" w:hAnsi="Times New Roman" w:cs="Times New Roman"/>
          <w:i/>
          <w:iCs/>
          <w:color w:val="000000"/>
          <w:sz w:val="20"/>
          <w:szCs w:val="20"/>
        </w:rPr>
        <w:t>et al.</w:t>
      </w:r>
      <w:r w:rsidRPr="00F2466A">
        <w:rPr>
          <w:rFonts w:ascii="Times New Roman" w:eastAsia="Times New Roman" w:hAnsi="Times New Roman" w:cs="Times New Roman"/>
          <w:color w:val="000000"/>
          <w:sz w:val="20"/>
          <w:szCs w:val="20"/>
        </w:rPr>
        <w:t xml:space="preserve">, “Physicochemical properties and biofunctional activities of polysaccharides from carob (ceratonia siliqua) pod by microwave-assisted deep eutectic solvent extraction and its effects on human gut microbiota,” </w:t>
      </w:r>
      <w:r w:rsidRPr="00F2466A">
        <w:rPr>
          <w:rFonts w:ascii="Times New Roman" w:eastAsia="Times New Roman" w:hAnsi="Times New Roman" w:cs="Times New Roman"/>
          <w:i/>
          <w:iCs/>
          <w:color w:val="000000"/>
          <w:sz w:val="20"/>
          <w:szCs w:val="20"/>
        </w:rPr>
        <w:t>Food Hydrocoll.</w:t>
      </w:r>
      <w:r w:rsidRPr="00F2466A">
        <w:rPr>
          <w:rFonts w:ascii="Times New Roman" w:eastAsia="Times New Roman" w:hAnsi="Times New Roman" w:cs="Times New Roman"/>
          <w:color w:val="000000"/>
          <w:sz w:val="20"/>
          <w:szCs w:val="20"/>
        </w:rPr>
        <w:t>, vol. 162, p. 110999, 2025.</w:t>
      </w:r>
    </w:p>
    <w:p w14:paraId="7BC67066" w14:textId="47FE4C9D" w:rsidR="003B0ABD" w:rsidRPr="00F2466A" w:rsidRDefault="00F2466A" w:rsidP="00F2466A">
      <w:pPr>
        <w:autoSpaceDE w:val="0"/>
        <w:autoSpaceDN w:val="0"/>
        <w:ind w:hanging="640"/>
        <w:rPr>
          <w:rFonts w:ascii="Times New Roman" w:eastAsia="Times New Roman" w:hAnsi="Times New Roman" w:cs="Times New Roman"/>
          <w:color w:val="000000"/>
          <w:sz w:val="20"/>
          <w:szCs w:val="20"/>
        </w:rPr>
      </w:pPr>
      <w:r w:rsidRPr="00F2466A">
        <w:rPr>
          <w:rFonts w:ascii="Times New Roman" w:eastAsia="Times New Roman" w:hAnsi="Times New Roman" w:cs="Times New Roman"/>
          <w:color w:val="000000"/>
          <w:sz w:val="20"/>
          <w:szCs w:val="20"/>
        </w:rPr>
        <w:t>[4]</w:t>
      </w:r>
      <w:r w:rsidRPr="00F2466A">
        <w:rPr>
          <w:rFonts w:ascii="Times New Roman" w:eastAsia="Times New Roman" w:hAnsi="Times New Roman" w:cs="Times New Roman"/>
          <w:color w:val="000000"/>
          <w:sz w:val="20"/>
          <w:szCs w:val="20"/>
        </w:rPr>
        <w:tab/>
        <w:t xml:space="preserve">M. P. Arachchi </w:t>
      </w:r>
      <w:r w:rsidRPr="00F2466A">
        <w:rPr>
          <w:rFonts w:ascii="Times New Roman" w:eastAsia="Times New Roman" w:hAnsi="Times New Roman" w:cs="Times New Roman"/>
          <w:i/>
          <w:iCs/>
          <w:color w:val="000000"/>
          <w:sz w:val="20"/>
          <w:szCs w:val="20"/>
        </w:rPr>
        <w:t>et al.</w:t>
      </w:r>
      <w:r w:rsidRPr="00F2466A">
        <w:rPr>
          <w:rFonts w:ascii="Times New Roman" w:eastAsia="Times New Roman" w:hAnsi="Times New Roman" w:cs="Times New Roman"/>
          <w:color w:val="000000"/>
          <w:sz w:val="20"/>
          <w:szCs w:val="20"/>
        </w:rPr>
        <w:t xml:space="preserve">, “Prebiotic potential of Ceratonia siliqua polysaccharides: Ultrasound-assisted extraction enhances gut microbial diversity and metabolic activity,” </w:t>
      </w:r>
      <w:r w:rsidRPr="00F2466A">
        <w:rPr>
          <w:rFonts w:ascii="Times New Roman" w:eastAsia="Times New Roman" w:hAnsi="Times New Roman" w:cs="Times New Roman"/>
          <w:i/>
          <w:iCs/>
          <w:color w:val="000000"/>
          <w:sz w:val="20"/>
          <w:szCs w:val="20"/>
        </w:rPr>
        <w:t>Int. J. Biol. Macromol.</w:t>
      </w:r>
      <w:r w:rsidRPr="00F2466A">
        <w:rPr>
          <w:rFonts w:ascii="Times New Roman" w:eastAsia="Times New Roman" w:hAnsi="Times New Roman" w:cs="Times New Roman"/>
          <w:color w:val="000000"/>
          <w:sz w:val="20"/>
          <w:szCs w:val="20"/>
        </w:rPr>
        <w:t>, vol. 311, p. 143757, 2025.</w:t>
      </w:r>
    </w:p>
    <w:sectPr w:rsidR="003B0ABD" w:rsidRPr="00F2466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F5C47" w14:textId="77777777" w:rsidR="00B33A5B" w:rsidRDefault="00B33A5B" w:rsidP="00431340">
      <w:pPr>
        <w:spacing w:after="0" w:line="240" w:lineRule="auto"/>
      </w:pPr>
      <w:r>
        <w:separator/>
      </w:r>
    </w:p>
  </w:endnote>
  <w:endnote w:type="continuationSeparator" w:id="0">
    <w:p w14:paraId="49750729" w14:textId="77777777" w:rsidR="00B33A5B" w:rsidRDefault="00B33A5B"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ADFDF" w14:textId="77777777" w:rsidR="00B33A5B" w:rsidRDefault="00B33A5B" w:rsidP="00431340">
      <w:pPr>
        <w:spacing w:after="0" w:line="240" w:lineRule="auto"/>
      </w:pPr>
      <w:r>
        <w:separator/>
      </w:r>
    </w:p>
  </w:footnote>
  <w:footnote w:type="continuationSeparator" w:id="0">
    <w:p w14:paraId="0DAB7CA3" w14:textId="77777777" w:rsidR="00B33A5B" w:rsidRDefault="00B33A5B"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A075C"/>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33A5B"/>
    <w:rsid w:val="00BE265A"/>
    <w:rsid w:val="00BF77A7"/>
    <w:rsid w:val="00C17F75"/>
    <w:rsid w:val="00C42F9F"/>
    <w:rsid w:val="00C4616B"/>
    <w:rsid w:val="00C67487"/>
    <w:rsid w:val="00CC179B"/>
    <w:rsid w:val="00D10E69"/>
    <w:rsid w:val="00D753D4"/>
    <w:rsid w:val="00DC2EAE"/>
    <w:rsid w:val="00DD4FF9"/>
    <w:rsid w:val="00ED50CE"/>
    <w:rsid w:val="00F2466A"/>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0C4B20-B512-4978-9D28-DA23429AAB2A}">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78758633158"/>
    <we:property name="MENDELEY_CITATIONS" valu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E3DA515D-4C4A-4DB5-A095-F286E770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450</Words>
  <Characters>2571</Characters>
  <Application>Microsoft Office Word</Application>
  <DocSecurity>0</DocSecurity>
  <Lines>21</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Athira Ajith</cp:lastModifiedBy>
  <cp:revision>3</cp:revision>
  <dcterms:created xsi:type="dcterms:W3CDTF">2026-02-04T06:37:00Z</dcterms:created>
  <dcterms:modified xsi:type="dcterms:W3CDTF">2026-05-14T11:43:00Z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