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03DDF93F" w14:textId="3CCB9EA1" w:rsidR="00D75778" w:rsidRPr="004E0E18" w:rsidRDefault="00336B86" w:rsidP="004E0E18">
      <w:pPr>
        <w:pStyle w:val="Els-Author"/>
        <w:ind w:right="2"/>
        <w:rPr>
          <w:sz w:val="32"/>
          <w:szCs w:val="32"/>
          <w:lang w:val="en-SG"/>
        </w:rPr>
      </w:pPr>
      <w:r>
        <w:rPr>
          <w:sz w:val="32"/>
          <w:szCs w:val="32"/>
        </w:rPr>
        <w:t>Gene-edited</w:t>
      </w:r>
      <w:r w:rsidR="004E0E18" w:rsidRPr="004E0E18">
        <w:rPr>
          <w:sz w:val="32"/>
          <w:szCs w:val="32"/>
        </w:rPr>
        <w:t xml:space="preserve"> Hypoallergenic Porcine Cell Line for Safer Future Foods</w:t>
      </w:r>
    </w:p>
    <w:p w14:paraId="106E7F61" w14:textId="21DF5A64" w:rsidR="00D75778" w:rsidRDefault="00D75778" w:rsidP="004E0E18">
      <w:pPr>
        <w:spacing w:after="0" w:line="240" w:lineRule="auto"/>
        <w:jc w:val="center"/>
        <w:rPr>
          <w:rFonts w:ascii="Times New Roman" w:eastAsia="Times New Roman" w:hAnsi="Times New Roman" w:cs="Times New Roman"/>
          <w:sz w:val="24"/>
          <w:szCs w:val="24"/>
          <w:vertAlign w:val="superscript"/>
        </w:rPr>
      </w:pPr>
      <w:r w:rsidRPr="004E0E18">
        <w:rPr>
          <w:rFonts w:ascii="Times New Roman" w:eastAsia="Times New Roman" w:hAnsi="Times New Roman" w:cs="Times New Roman"/>
          <w:sz w:val="24"/>
          <w:szCs w:val="24"/>
        </w:rPr>
        <w:t>Larry Sai Weng Loo</w:t>
      </w:r>
      <w:r w:rsidR="004E0E18" w:rsidRPr="004E0E18">
        <w:rPr>
          <w:rFonts w:ascii="Times New Roman" w:eastAsia="Times New Roman" w:hAnsi="Times New Roman" w:cs="Times New Roman"/>
          <w:sz w:val="24"/>
          <w:szCs w:val="24"/>
          <w:vertAlign w:val="superscript"/>
        </w:rPr>
        <w:t>a</w:t>
      </w:r>
      <w:r w:rsidRPr="004E0E18">
        <w:rPr>
          <w:rFonts w:ascii="Times New Roman" w:eastAsia="Times New Roman" w:hAnsi="Times New Roman" w:cs="Times New Roman"/>
          <w:sz w:val="24"/>
          <w:szCs w:val="24"/>
          <w:vertAlign w:val="superscript"/>
        </w:rPr>
        <w:t>,</w:t>
      </w:r>
      <w:r w:rsidR="004E0E18" w:rsidRPr="004E0E18">
        <w:rPr>
          <w:rFonts w:ascii="Times New Roman" w:eastAsia="Times New Roman" w:hAnsi="Times New Roman" w:cs="Times New Roman"/>
          <w:sz w:val="24"/>
          <w:szCs w:val="24"/>
          <w:vertAlign w:val="superscript"/>
        </w:rPr>
        <w:t>b</w:t>
      </w:r>
      <w:r w:rsidRPr="004E0E18">
        <w:rPr>
          <w:rFonts w:ascii="Times New Roman" w:eastAsia="Times New Roman" w:hAnsi="Times New Roman" w:cs="Times New Roman"/>
          <w:sz w:val="24"/>
          <w:szCs w:val="24"/>
          <w:vertAlign w:val="superscript"/>
        </w:rPr>
        <w:t>,</w:t>
      </w:r>
      <w:r w:rsidR="004E0E18" w:rsidRPr="004E0E18">
        <w:rPr>
          <w:rFonts w:ascii="Times New Roman" w:eastAsia="Times New Roman" w:hAnsi="Times New Roman" w:cs="Times New Roman"/>
          <w:sz w:val="24"/>
          <w:szCs w:val="24"/>
          <w:vertAlign w:val="superscript"/>
        </w:rPr>
        <w:t>c</w:t>
      </w:r>
      <w:r w:rsidRPr="004E0E18">
        <w:rPr>
          <w:rFonts w:ascii="Times New Roman" w:eastAsia="Times New Roman" w:hAnsi="Times New Roman" w:cs="Times New Roman"/>
          <w:sz w:val="24"/>
          <w:szCs w:val="24"/>
        </w:rPr>
        <w:t>; Kimberle Shen</w:t>
      </w:r>
      <w:r w:rsidR="004E0E18" w:rsidRPr="004E0E18">
        <w:rPr>
          <w:rFonts w:ascii="Times New Roman" w:eastAsia="Times New Roman" w:hAnsi="Times New Roman" w:cs="Times New Roman"/>
          <w:sz w:val="24"/>
          <w:szCs w:val="24"/>
          <w:vertAlign w:val="superscript"/>
        </w:rPr>
        <w:t>a</w:t>
      </w:r>
      <w:r w:rsidRPr="004E0E18">
        <w:rPr>
          <w:rFonts w:ascii="Times New Roman" w:eastAsia="Times New Roman" w:hAnsi="Times New Roman" w:cs="Times New Roman"/>
          <w:sz w:val="24"/>
          <w:szCs w:val="24"/>
        </w:rPr>
        <w:t>; Matthew Myint</w:t>
      </w:r>
      <w:r w:rsidR="004E0E18" w:rsidRPr="004E0E18">
        <w:rPr>
          <w:rFonts w:ascii="Times New Roman" w:eastAsia="Times New Roman" w:hAnsi="Times New Roman" w:cs="Times New Roman"/>
          <w:sz w:val="24"/>
          <w:szCs w:val="24"/>
          <w:vertAlign w:val="superscript"/>
        </w:rPr>
        <w:t>e</w:t>
      </w:r>
      <w:r w:rsidRPr="004E0E18">
        <w:rPr>
          <w:rFonts w:ascii="Times New Roman" w:eastAsia="Times New Roman" w:hAnsi="Times New Roman" w:cs="Times New Roman"/>
          <w:sz w:val="24"/>
          <w:szCs w:val="24"/>
        </w:rPr>
        <w:t>, Ian Walsh</w:t>
      </w:r>
      <w:r w:rsidR="004E0E18" w:rsidRPr="004E0E18">
        <w:rPr>
          <w:rFonts w:ascii="Times New Roman" w:eastAsia="Times New Roman" w:hAnsi="Times New Roman" w:cs="Times New Roman"/>
          <w:sz w:val="24"/>
          <w:szCs w:val="24"/>
          <w:vertAlign w:val="superscript"/>
        </w:rPr>
        <w:t>e</w:t>
      </w:r>
      <w:r w:rsidRPr="004E0E18">
        <w:rPr>
          <w:rFonts w:ascii="Times New Roman" w:eastAsia="Times New Roman" w:hAnsi="Times New Roman" w:cs="Times New Roman"/>
          <w:sz w:val="24"/>
          <w:szCs w:val="24"/>
        </w:rPr>
        <w:t>, Tay Shi Jie</w:t>
      </w:r>
      <w:r w:rsidR="004E0E18" w:rsidRPr="004E0E18">
        <w:rPr>
          <w:rFonts w:ascii="Times New Roman" w:eastAsia="Times New Roman" w:hAnsi="Times New Roman" w:cs="Times New Roman"/>
          <w:sz w:val="24"/>
          <w:szCs w:val="24"/>
          <w:vertAlign w:val="superscript"/>
        </w:rPr>
        <w:t>e</w:t>
      </w:r>
      <w:r w:rsidRPr="004E0E18">
        <w:rPr>
          <w:rFonts w:ascii="Times New Roman" w:eastAsia="Times New Roman" w:hAnsi="Times New Roman" w:cs="Times New Roman"/>
          <w:sz w:val="24"/>
          <w:szCs w:val="24"/>
        </w:rPr>
        <w:t>, Andrew Wan</w:t>
      </w:r>
      <w:r w:rsidR="004E0E18" w:rsidRPr="004E0E18">
        <w:rPr>
          <w:rFonts w:ascii="Times New Roman" w:eastAsia="Times New Roman" w:hAnsi="Times New Roman" w:cs="Times New Roman"/>
          <w:sz w:val="24"/>
          <w:szCs w:val="24"/>
          <w:vertAlign w:val="superscript"/>
        </w:rPr>
        <w:t>d</w:t>
      </w:r>
      <w:r w:rsidRPr="004E0E18">
        <w:rPr>
          <w:rFonts w:ascii="Times New Roman" w:hAnsi="Times New Roman" w:cs="Times New Roman"/>
          <w:sz w:val="24"/>
          <w:szCs w:val="24"/>
        </w:rPr>
        <w:t>,</w:t>
      </w:r>
      <w:r w:rsidRPr="004E0E18">
        <w:rPr>
          <w:rFonts w:ascii="Times New Roman" w:eastAsia="Times New Roman" w:hAnsi="Times New Roman" w:cs="Times New Roman"/>
          <w:sz w:val="24"/>
          <w:szCs w:val="24"/>
        </w:rPr>
        <w:t xml:space="preserve"> </w:t>
      </w:r>
      <w:r w:rsidR="00D62B37">
        <w:rPr>
          <w:rFonts w:ascii="Times New Roman" w:eastAsia="Times New Roman" w:hAnsi="Times New Roman" w:cs="Times New Roman"/>
          <w:sz w:val="24"/>
          <w:szCs w:val="24"/>
        </w:rPr>
        <w:t>Chew Wei Leong</w:t>
      </w:r>
      <w:r w:rsidR="00D62B37" w:rsidRPr="00D62B37">
        <w:rPr>
          <w:rFonts w:ascii="Times New Roman" w:eastAsia="Times New Roman" w:hAnsi="Times New Roman" w:cs="Times New Roman"/>
          <w:sz w:val="24"/>
          <w:szCs w:val="24"/>
          <w:vertAlign w:val="superscript"/>
        </w:rPr>
        <w:t>a</w:t>
      </w:r>
      <w:r w:rsidR="00D62B37">
        <w:rPr>
          <w:rFonts w:ascii="Times New Roman" w:eastAsia="Times New Roman" w:hAnsi="Times New Roman" w:cs="Times New Roman"/>
          <w:sz w:val="24"/>
          <w:szCs w:val="24"/>
        </w:rPr>
        <w:t xml:space="preserve">, </w:t>
      </w:r>
      <w:r w:rsidRPr="004E0E18">
        <w:rPr>
          <w:rFonts w:ascii="Times New Roman" w:eastAsia="Times New Roman" w:hAnsi="Times New Roman" w:cs="Times New Roman"/>
          <w:sz w:val="24"/>
          <w:szCs w:val="24"/>
        </w:rPr>
        <w:t>Zach Pang Kuin Tian</w:t>
      </w:r>
      <w:r w:rsidR="004E0E18" w:rsidRPr="004E0E18">
        <w:rPr>
          <w:rFonts w:ascii="Times New Roman" w:eastAsia="Times New Roman" w:hAnsi="Times New Roman" w:cs="Times New Roman"/>
          <w:sz w:val="24"/>
          <w:szCs w:val="24"/>
          <w:vertAlign w:val="superscript"/>
        </w:rPr>
        <w:t>e</w:t>
      </w:r>
    </w:p>
    <w:p w14:paraId="36EA52F7" w14:textId="77777777" w:rsidR="004E0E18" w:rsidRPr="004E0E18" w:rsidRDefault="004E0E18" w:rsidP="004E0E18">
      <w:pPr>
        <w:spacing w:after="0" w:line="240" w:lineRule="auto"/>
        <w:jc w:val="center"/>
        <w:rPr>
          <w:rFonts w:ascii="Times New Roman" w:eastAsia="Times New Roman" w:hAnsi="Times New Roman" w:cs="Times New Roman"/>
          <w:sz w:val="24"/>
          <w:szCs w:val="24"/>
        </w:rPr>
      </w:pPr>
    </w:p>
    <w:p w14:paraId="3C52D3C3" w14:textId="1577B9FB" w:rsidR="00F460D9" w:rsidRPr="00F460D9" w:rsidRDefault="00F460D9" w:rsidP="00F460D9">
      <w:pPr>
        <w:rPr>
          <w:rFonts w:ascii="Times New Roman" w:hAnsi="Times New Roman" w:cs="Times New Roman"/>
          <w:i/>
          <w:iCs/>
          <w:sz w:val="16"/>
          <w:szCs w:val="16"/>
        </w:rPr>
      </w:pPr>
      <w:r w:rsidRPr="00800A53">
        <w:rPr>
          <w:rFonts w:ascii="Times New Roman" w:hAnsi="Times New Roman" w:cs="Times New Roman"/>
          <w:i/>
          <w:iCs/>
          <w:sz w:val="16"/>
          <w:szCs w:val="16"/>
          <w:vertAlign w:val="superscript"/>
        </w:rPr>
        <w:t>a</w:t>
      </w:r>
      <w:r w:rsidRPr="00F460D9">
        <w:rPr>
          <w:rFonts w:ascii="Times New Roman" w:hAnsi="Times New Roman" w:cs="Times New Roman"/>
          <w:i/>
          <w:iCs/>
          <w:sz w:val="16"/>
          <w:szCs w:val="16"/>
        </w:rPr>
        <w:t>Genome Institute of Singapore</w:t>
      </w:r>
      <w:r w:rsidR="006A4B9E">
        <w:rPr>
          <w:rFonts w:ascii="Times New Roman" w:hAnsi="Times New Roman" w:cs="Times New Roman"/>
          <w:i/>
          <w:iCs/>
          <w:sz w:val="16"/>
          <w:szCs w:val="16"/>
        </w:rPr>
        <w:t xml:space="preserve"> (GIS)</w:t>
      </w:r>
      <w:r w:rsidRPr="00F460D9">
        <w:rPr>
          <w:rFonts w:ascii="Times New Roman" w:hAnsi="Times New Roman" w:cs="Times New Roman"/>
          <w:i/>
          <w:iCs/>
          <w:sz w:val="16"/>
          <w:szCs w:val="16"/>
        </w:rPr>
        <w:t>, Agency for Science, Technology and Research</w:t>
      </w:r>
      <w:r w:rsidR="006A4B9E">
        <w:rPr>
          <w:rFonts w:ascii="Times New Roman" w:hAnsi="Times New Roman" w:cs="Times New Roman"/>
          <w:i/>
          <w:iCs/>
          <w:sz w:val="16"/>
          <w:szCs w:val="16"/>
        </w:rPr>
        <w:t xml:space="preserve"> (A*STAR)</w:t>
      </w:r>
      <w:r w:rsidRPr="00F460D9">
        <w:rPr>
          <w:rFonts w:ascii="Times New Roman" w:hAnsi="Times New Roman" w:cs="Times New Roman"/>
          <w:i/>
          <w:iCs/>
          <w:sz w:val="16"/>
          <w:szCs w:val="16"/>
        </w:rPr>
        <w:t>, 60 Biopolis Street, Singapore 138672</w:t>
      </w:r>
    </w:p>
    <w:p w14:paraId="3BB8D2CC" w14:textId="6617DBA9" w:rsidR="00D75778" w:rsidRPr="004E0E18" w:rsidRDefault="004E0E18" w:rsidP="004E0E18">
      <w:pPr>
        <w:spacing w:after="0" w:line="360" w:lineRule="auto"/>
        <w:ind w:left="284" w:hanging="284"/>
        <w:jc w:val="both"/>
        <w:rPr>
          <w:rFonts w:ascii="Times New Roman" w:eastAsia="Times New Roman" w:hAnsi="Times New Roman" w:cs="Times New Roman"/>
          <w:i/>
          <w:sz w:val="16"/>
          <w:szCs w:val="16"/>
          <w:vertAlign w:val="superscript"/>
        </w:rPr>
      </w:pPr>
      <w:r w:rsidRPr="004E0E18">
        <w:rPr>
          <w:rFonts w:ascii="Times New Roman" w:eastAsia="Times New Roman" w:hAnsi="Times New Roman" w:cs="Times New Roman"/>
          <w:i/>
          <w:color w:val="000000"/>
          <w:sz w:val="16"/>
          <w:szCs w:val="16"/>
          <w:vertAlign w:val="superscript"/>
        </w:rPr>
        <w:t>b</w:t>
      </w:r>
      <w:r w:rsidR="00D75778" w:rsidRPr="004E0E18">
        <w:rPr>
          <w:rFonts w:ascii="Times New Roman" w:eastAsia="Times New Roman" w:hAnsi="Times New Roman" w:cs="Times New Roman"/>
          <w:i/>
          <w:color w:val="000000"/>
          <w:sz w:val="16"/>
          <w:szCs w:val="16"/>
        </w:rPr>
        <w:t>Food, Chemical and Biotechnology Cluster, Singapore Institute of Technology, 10 Dover Drive, Singapore 138683</w:t>
      </w:r>
    </w:p>
    <w:p w14:paraId="3C7BB87F" w14:textId="27890F8B" w:rsidR="00D75778" w:rsidRPr="004E0E18" w:rsidRDefault="004E0E18" w:rsidP="004E0E18">
      <w:pPr>
        <w:spacing w:after="0" w:line="360" w:lineRule="auto"/>
        <w:ind w:left="284" w:hanging="284"/>
        <w:jc w:val="both"/>
        <w:rPr>
          <w:rFonts w:ascii="Times New Roman" w:eastAsia="Times New Roman" w:hAnsi="Times New Roman" w:cs="Times New Roman"/>
          <w:i/>
          <w:sz w:val="16"/>
          <w:szCs w:val="16"/>
        </w:rPr>
      </w:pPr>
      <w:r w:rsidRPr="004E0E18">
        <w:rPr>
          <w:rFonts w:ascii="Times New Roman" w:eastAsia="Times New Roman" w:hAnsi="Times New Roman" w:cs="Times New Roman"/>
          <w:i/>
          <w:sz w:val="16"/>
          <w:szCs w:val="16"/>
          <w:vertAlign w:val="superscript"/>
        </w:rPr>
        <w:t>c</w:t>
      </w:r>
      <w:r w:rsidR="00D75778" w:rsidRPr="004E0E18">
        <w:rPr>
          <w:rFonts w:ascii="Times New Roman" w:eastAsia="Times New Roman" w:hAnsi="Times New Roman" w:cs="Times New Roman"/>
          <w:i/>
          <w:sz w:val="16"/>
          <w:szCs w:val="16"/>
        </w:rPr>
        <w:t>Department of Food Science &amp; Technology, Faculty of Science, National University of Singapore, Singapore 117543</w:t>
      </w:r>
    </w:p>
    <w:p w14:paraId="7161B88D" w14:textId="2ECCB84F" w:rsidR="00D75778" w:rsidRPr="004E0E18" w:rsidRDefault="004E0E18" w:rsidP="004E0E18">
      <w:pPr>
        <w:spacing w:after="0" w:line="360" w:lineRule="auto"/>
        <w:ind w:left="284" w:hanging="284"/>
        <w:jc w:val="both"/>
        <w:rPr>
          <w:rFonts w:ascii="Times New Roman" w:eastAsia="Times New Roman" w:hAnsi="Times New Roman" w:cs="Times New Roman"/>
          <w:i/>
          <w:sz w:val="16"/>
          <w:szCs w:val="16"/>
        </w:rPr>
      </w:pPr>
      <w:r w:rsidRPr="004E0E18">
        <w:rPr>
          <w:rFonts w:ascii="Times New Roman" w:eastAsia="Times New Roman" w:hAnsi="Times New Roman" w:cs="Times New Roman"/>
          <w:i/>
          <w:sz w:val="16"/>
          <w:szCs w:val="16"/>
          <w:vertAlign w:val="superscript"/>
        </w:rPr>
        <w:t>d</w:t>
      </w:r>
      <w:r w:rsidR="00D75778" w:rsidRPr="004E0E18">
        <w:rPr>
          <w:rFonts w:ascii="Times New Roman" w:eastAsia="Times New Roman" w:hAnsi="Times New Roman" w:cs="Times New Roman"/>
          <w:i/>
          <w:sz w:val="16"/>
          <w:szCs w:val="16"/>
        </w:rPr>
        <w:t>Singapore Institute of Food and Biotechnology Innovation (SIFBI), Agency for Science, Technology and Research (A*STAR), Singapore</w:t>
      </w:r>
      <w:r w:rsidR="00807B49">
        <w:rPr>
          <w:rFonts w:ascii="Times New Roman" w:eastAsia="Times New Roman" w:hAnsi="Times New Roman" w:cs="Times New Roman"/>
          <w:i/>
          <w:sz w:val="16"/>
          <w:szCs w:val="16"/>
        </w:rPr>
        <w:t xml:space="preserve"> </w:t>
      </w:r>
      <w:r w:rsidR="00D75778" w:rsidRPr="004E0E18">
        <w:rPr>
          <w:rFonts w:ascii="Times New Roman" w:eastAsia="Times New Roman" w:hAnsi="Times New Roman" w:cs="Times New Roman"/>
          <w:i/>
          <w:sz w:val="16"/>
          <w:szCs w:val="16"/>
        </w:rPr>
        <w:t>138669</w:t>
      </w:r>
    </w:p>
    <w:p w14:paraId="5342D5C1" w14:textId="378EF0E5" w:rsidR="00D75778" w:rsidRPr="004E0E18" w:rsidRDefault="004E0E18" w:rsidP="004E0E18">
      <w:pPr>
        <w:spacing w:after="0" w:line="360" w:lineRule="auto"/>
        <w:ind w:left="284" w:hanging="284"/>
        <w:jc w:val="both"/>
        <w:rPr>
          <w:rFonts w:ascii="Times New Roman" w:eastAsia="Times New Roman" w:hAnsi="Times New Roman" w:cs="Times New Roman"/>
          <w:i/>
          <w:sz w:val="16"/>
          <w:szCs w:val="16"/>
        </w:rPr>
        <w:sectPr w:rsidR="00D75778" w:rsidRPr="004E0E18"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sidRPr="004E0E18">
        <w:rPr>
          <w:rFonts w:ascii="Times New Roman" w:eastAsia="Times New Roman" w:hAnsi="Times New Roman" w:cs="Times New Roman"/>
          <w:i/>
          <w:sz w:val="16"/>
          <w:szCs w:val="16"/>
          <w:vertAlign w:val="superscript"/>
        </w:rPr>
        <w:t>e</w:t>
      </w:r>
      <w:r w:rsidR="00D75778" w:rsidRPr="004E0E18">
        <w:rPr>
          <w:rFonts w:ascii="Times New Roman" w:eastAsia="Times New Roman" w:hAnsi="Times New Roman" w:cs="Times New Roman"/>
          <w:i/>
          <w:sz w:val="16"/>
          <w:szCs w:val="16"/>
        </w:rPr>
        <w:t>Bioprocessing Technology Institute (BTI), Agency for Science, Technology and Research (A*STAR), 20 Biopolis Way, Singapore</w:t>
      </w:r>
      <w:r w:rsidR="00D75778" w:rsidRPr="004E0E18">
        <w:rPr>
          <w:rFonts w:ascii="Times New Roman" w:eastAsia="Times New Roman" w:hAnsi="Times New Roman" w:cs="Times New Roman"/>
          <w:sz w:val="16"/>
          <w:szCs w:val="16"/>
        </w:rPr>
        <w:t xml:space="preserve"> </w:t>
      </w:r>
      <w:r w:rsidR="00D75778" w:rsidRPr="004E0E18">
        <w:rPr>
          <w:rFonts w:ascii="Times New Roman" w:eastAsia="Times New Roman" w:hAnsi="Times New Roman" w:cs="Times New Roman"/>
          <w:i/>
          <w:sz w:val="16"/>
          <w:szCs w:val="16"/>
        </w:rPr>
        <w:t>138668</w:t>
      </w:r>
    </w:p>
    <w:p w14:paraId="7398AA6B" w14:textId="77777777" w:rsidR="00D75778" w:rsidRPr="00D75778" w:rsidRDefault="00D75778" w:rsidP="00D75778">
      <w:pPr>
        <w:pStyle w:val="Els-Abstract-head"/>
        <w:rPr>
          <w:lang w:val="nb-NO" w:eastAsia="zh-CN"/>
        </w:rPr>
      </w:pP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0F45DEF4" w14:textId="6649DECD" w:rsidR="004E0E18" w:rsidRPr="004E0E18" w:rsidRDefault="004E0E18" w:rsidP="004E0E18">
      <w:pPr>
        <w:spacing w:line="278" w:lineRule="auto"/>
        <w:rPr>
          <w:rFonts w:ascii="Times New Roman" w:hAnsi="Times New Roman" w:cs="Times New Roman"/>
          <w:sz w:val="20"/>
          <w:szCs w:val="20"/>
        </w:rPr>
      </w:pPr>
      <w:r w:rsidRPr="004E0E18">
        <w:rPr>
          <w:rFonts w:ascii="Times New Roman" w:hAnsi="Times New Roman" w:cs="Times New Roman"/>
          <w:sz w:val="20"/>
          <w:szCs w:val="20"/>
          <w:lang w:val="en-US"/>
        </w:rPr>
        <w:t xml:space="preserve">Cultivated meat is a sustainable alternative to animal agriculture, but availability and choice of cell types remain a major concern to consumer acceptance. Here we developed porcine myoblast and fibroblast cell lines under different culture conditions and evaluated the aroma profile using mass spectrometry and consumer acceptance studies. Another critical concern is the presence of carbohydrate epitope </w:t>
      </w:r>
      <w:r w:rsidRPr="004E0E18">
        <w:rPr>
          <w:rFonts w:ascii="Times New Roman" w:hAnsi="Times New Roman" w:cs="Times New Roman"/>
          <w:b/>
          <w:bCs/>
          <w:sz w:val="20"/>
          <w:szCs w:val="20"/>
          <w:lang w:val="en-US"/>
        </w:rPr>
        <w:t>α-Gal (galactose-α-1,3-galactose)</w:t>
      </w:r>
      <w:r w:rsidRPr="004E0E18">
        <w:rPr>
          <w:rFonts w:ascii="Times New Roman" w:hAnsi="Times New Roman" w:cs="Times New Roman"/>
          <w:sz w:val="20"/>
          <w:szCs w:val="20"/>
          <w:lang w:val="en-US"/>
        </w:rPr>
        <w:t xml:space="preserve">, produced by the </w:t>
      </w:r>
      <w:r w:rsidRPr="004E0E18">
        <w:rPr>
          <w:rFonts w:ascii="Times New Roman" w:hAnsi="Times New Roman" w:cs="Times New Roman"/>
          <w:i/>
          <w:iCs/>
          <w:sz w:val="20"/>
          <w:szCs w:val="20"/>
          <w:lang w:val="en-US"/>
        </w:rPr>
        <w:t>GGTA1</w:t>
      </w:r>
      <w:r w:rsidRPr="004E0E18">
        <w:rPr>
          <w:rFonts w:ascii="Times New Roman" w:hAnsi="Times New Roman" w:cs="Times New Roman"/>
          <w:sz w:val="20"/>
          <w:szCs w:val="20"/>
          <w:lang w:val="en-US"/>
        </w:rPr>
        <w:t xml:space="preserve"> gene and responsible for </w:t>
      </w:r>
      <w:r w:rsidRPr="004E0E18">
        <w:rPr>
          <w:rFonts w:ascii="Times New Roman" w:hAnsi="Times New Roman" w:cs="Times New Roman"/>
          <w:b/>
          <w:bCs/>
          <w:sz w:val="20"/>
          <w:szCs w:val="20"/>
          <w:lang w:val="en-US"/>
        </w:rPr>
        <w:t>α-Gal syndrome (AGS)</w:t>
      </w:r>
      <w:r w:rsidRPr="004E0E18">
        <w:rPr>
          <w:rFonts w:ascii="Times New Roman" w:hAnsi="Times New Roman" w:cs="Times New Roman"/>
          <w:sz w:val="20"/>
          <w:szCs w:val="20"/>
          <w:lang w:val="en-US"/>
        </w:rPr>
        <w:t>, a lone star tick bite-induced red meat allergy affecting ~3% of the global population</w:t>
      </w:r>
      <w:r w:rsidR="00373D34" w:rsidRPr="00373D34">
        <w:rPr>
          <w:rFonts w:ascii="Times New Roman" w:hAnsi="Times New Roman" w:cs="Times New Roman"/>
          <w:sz w:val="20"/>
          <w:szCs w:val="20"/>
          <w:vertAlign w:val="superscript"/>
          <w:lang w:val="en-US"/>
        </w:rPr>
        <w:t>1,2</w:t>
      </w:r>
      <w:r w:rsidRPr="004E0E18">
        <w:rPr>
          <w:rFonts w:ascii="Times New Roman" w:hAnsi="Times New Roman" w:cs="Times New Roman"/>
          <w:sz w:val="20"/>
          <w:szCs w:val="20"/>
          <w:lang w:val="en-US"/>
        </w:rPr>
        <w:t xml:space="preserve">. To address this concern, we </w:t>
      </w:r>
      <w:r w:rsidR="00982D7B">
        <w:rPr>
          <w:rFonts w:ascii="Times New Roman" w:hAnsi="Times New Roman" w:cs="Times New Roman"/>
          <w:sz w:val="20"/>
          <w:szCs w:val="20"/>
          <w:lang w:val="en-US"/>
        </w:rPr>
        <w:t xml:space="preserve">genetically </w:t>
      </w:r>
      <w:r w:rsidRPr="004E0E18">
        <w:rPr>
          <w:rFonts w:ascii="Times New Roman" w:hAnsi="Times New Roman" w:cs="Times New Roman"/>
          <w:sz w:val="20"/>
          <w:szCs w:val="20"/>
          <w:lang w:val="en-US"/>
        </w:rPr>
        <w:t xml:space="preserve">engineered </w:t>
      </w:r>
      <w:r w:rsidRPr="004E0E18">
        <w:rPr>
          <w:rFonts w:ascii="Times New Roman" w:hAnsi="Times New Roman" w:cs="Times New Roman"/>
          <w:b/>
          <w:bCs/>
          <w:sz w:val="20"/>
          <w:szCs w:val="20"/>
          <w:lang w:val="en-US"/>
        </w:rPr>
        <w:t>porcine myoblasts lacking α-Gal</w:t>
      </w:r>
      <w:r w:rsidRPr="004E0E18">
        <w:rPr>
          <w:rFonts w:ascii="Times New Roman" w:hAnsi="Times New Roman" w:cs="Times New Roman"/>
          <w:sz w:val="20"/>
          <w:szCs w:val="20"/>
          <w:lang w:val="en-US"/>
        </w:rPr>
        <w:t xml:space="preserve"> and assessed their allergenicity. Our work highlights the potential of precision genome engineering to overcome the above barriers in cultivated meat production, advancing development of </w:t>
      </w:r>
      <w:r w:rsidRPr="004E0E18">
        <w:rPr>
          <w:rFonts w:ascii="Times New Roman" w:hAnsi="Times New Roman" w:cs="Times New Roman"/>
          <w:b/>
          <w:bCs/>
          <w:sz w:val="20"/>
          <w:szCs w:val="20"/>
          <w:lang w:val="en-US"/>
        </w:rPr>
        <w:t>safe and consumer-ready cultivated pork</w:t>
      </w:r>
      <w:r w:rsidRPr="004E0E18">
        <w:rPr>
          <w:rFonts w:ascii="Times New Roman" w:hAnsi="Times New Roman" w:cs="Times New Roman"/>
          <w:sz w:val="20"/>
          <w:szCs w:val="20"/>
          <w:lang w:val="en-US"/>
        </w:rPr>
        <w:t>.</w:t>
      </w:r>
    </w:p>
    <w:p w14:paraId="7687299F" w14:textId="77777777" w:rsidR="007679DD" w:rsidRPr="004E0E18" w:rsidRDefault="007679DD" w:rsidP="007679DD">
      <w:pPr>
        <w:rPr>
          <w:rFonts w:ascii="Times New Roman" w:hAnsi="Times New Roman" w:cs="Times New Roman"/>
          <w:sz w:val="20"/>
          <w:szCs w:val="20"/>
          <w:lang w:eastAsia="zh-CN"/>
        </w:rPr>
      </w:pP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5BEC37DA" w14:textId="77A23FB6" w:rsidR="004E0E18" w:rsidRPr="004E0E18" w:rsidRDefault="004E0E18" w:rsidP="004E0E18">
      <w:pPr>
        <w:pStyle w:val="Els-keywords"/>
        <w:spacing w:after="120"/>
        <w:rPr>
          <w:sz w:val="20"/>
          <w:lang w:val="en-SG"/>
        </w:rPr>
      </w:pPr>
      <w:r>
        <w:rPr>
          <w:sz w:val="20"/>
        </w:rPr>
        <w:t xml:space="preserve">[1] </w:t>
      </w:r>
      <w:r w:rsidRPr="004E0E18">
        <w:rPr>
          <w:sz w:val="20"/>
        </w:rPr>
        <w:t>Commins SP, Satinover SM, Hosen J, Mozena J, Borish L, Lewis BD, Woodfolk JA, Platts-Mills TA. Delayed anaphylaxis, angioedema, or urticaria after consumption of red meat in patients with IgE antibodies specific for galactose-α-1,3-galactose (2009). </w:t>
      </w:r>
      <w:r w:rsidRPr="004E0E18">
        <w:rPr>
          <w:i/>
          <w:iCs/>
          <w:sz w:val="20"/>
        </w:rPr>
        <w:t>Journal of Allergy and Clinical Immunology</w:t>
      </w:r>
      <w:r w:rsidRPr="004E0E18">
        <w:rPr>
          <w:sz w:val="20"/>
        </w:rPr>
        <w:t> 123, 426-433.e2.</w:t>
      </w:r>
    </w:p>
    <w:p w14:paraId="10279A0A" w14:textId="4C301AA2" w:rsidR="004E0E18" w:rsidRPr="004E0E18" w:rsidRDefault="004E0E18" w:rsidP="004E0E18">
      <w:pPr>
        <w:pStyle w:val="Els-keywords"/>
        <w:spacing w:after="120"/>
        <w:rPr>
          <w:sz w:val="20"/>
          <w:lang w:val="en-SG"/>
        </w:rPr>
      </w:pPr>
      <w:r>
        <w:rPr>
          <w:sz w:val="20"/>
        </w:rPr>
        <w:t xml:space="preserve">[2] </w:t>
      </w:r>
      <w:r w:rsidRPr="004E0E18">
        <w:rPr>
          <w:sz w:val="20"/>
        </w:rPr>
        <w:t>Levin M, Apostolovic D, Biedermann T, Commins SP, Iweala OI, Platts-Mills TAE, Savi E, van Hage M, Wilson JM (2019). Galactose α-1,3-galactose phenotypes. </w:t>
      </w:r>
      <w:r w:rsidRPr="004E0E18">
        <w:rPr>
          <w:i/>
          <w:iCs/>
          <w:sz w:val="20"/>
        </w:rPr>
        <w:t>Annals of Allergy, Asthma &amp;amp; Immunology</w:t>
      </w:r>
      <w:r w:rsidRPr="004E0E18">
        <w:rPr>
          <w:sz w:val="20"/>
        </w:rPr>
        <w:t> 122, 598-602.</w:t>
      </w:r>
    </w:p>
    <w:p w14:paraId="7BC67066" w14:textId="2645B98E" w:rsidR="003B0ABD" w:rsidRPr="004E0E18" w:rsidRDefault="003B0ABD" w:rsidP="004E0E18">
      <w:pPr>
        <w:pStyle w:val="Els-keywords"/>
        <w:spacing w:after="120" w:line="240" w:lineRule="auto"/>
        <w:rPr>
          <w:sz w:val="20"/>
          <w:lang w:val="en-SG"/>
        </w:rPr>
      </w:pPr>
    </w:p>
    <w:sectPr w:rsidR="003B0ABD" w:rsidRPr="004E0E18"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ED202" w14:textId="77777777" w:rsidR="007A59C5" w:rsidRDefault="007A59C5" w:rsidP="00431340">
      <w:pPr>
        <w:spacing w:after="0" w:line="240" w:lineRule="auto"/>
      </w:pPr>
      <w:r>
        <w:separator/>
      </w:r>
    </w:p>
  </w:endnote>
  <w:endnote w:type="continuationSeparator" w:id="0">
    <w:p w14:paraId="5C13DF1E" w14:textId="77777777" w:rsidR="007A59C5" w:rsidRDefault="007A59C5"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52FE0" w14:textId="77777777" w:rsidR="007A59C5" w:rsidRDefault="007A59C5" w:rsidP="00431340">
      <w:pPr>
        <w:spacing w:after="0" w:line="240" w:lineRule="auto"/>
      </w:pPr>
      <w:r>
        <w:separator/>
      </w:r>
    </w:p>
  </w:footnote>
  <w:footnote w:type="continuationSeparator" w:id="0">
    <w:p w14:paraId="58338E0A" w14:textId="77777777" w:rsidR="007A59C5" w:rsidRDefault="007A59C5"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 w15:restartNumberingAfterBreak="0">
    <w:nsid w:val="612A53FD"/>
    <w:multiLevelType w:val="hybridMultilevel"/>
    <w:tmpl w:val="AC8E61A8"/>
    <w:lvl w:ilvl="0" w:tplc="FB8CE708">
      <w:start w:val="1"/>
      <w:numFmt w:val="decimal"/>
      <w:lvlText w:val="%1."/>
      <w:lvlJc w:val="left"/>
      <w:pPr>
        <w:tabs>
          <w:tab w:val="num" w:pos="720"/>
        </w:tabs>
        <w:ind w:left="720" w:hanging="360"/>
      </w:pPr>
    </w:lvl>
    <w:lvl w:ilvl="1" w:tplc="A6B63ECC" w:tentative="1">
      <w:start w:val="1"/>
      <w:numFmt w:val="decimal"/>
      <w:lvlText w:val="%2."/>
      <w:lvlJc w:val="left"/>
      <w:pPr>
        <w:tabs>
          <w:tab w:val="num" w:pos="1440"/>
        </w:tabs>
        <w:ind w:left="1440" w:hanging="360"/>
      </w:pPr>
    </w:lvl>
    <w:lvl w:ilvl="2" w:tplc="7C901156" w:tentative="1">
      <w:start w:val="1"/>
      <w:numFmt w:val="decimal"/>
      <w:lvlText w:val="%3."/>
      <w:lvlJc w:val="left"/>
      <w:pPr>
        <w:tabs>
          <w:tab w:val="num" w:pos="2160"/>
        </w:tabs>
        <w:ind w:left="2160" w:hanging="360"/>
      </w:pPr>
    </w:lvl>
    <w:lvl w:ilvl="3" w:tplc="4CA4C6AE" w:tentative="1">
      <w:start w:val="1"/>
      <w:numFmt w:val="decimal"/>
      <w:lvlText w:val="%4."/>
      <w:lvlJc w:val="left"/>
      <w:pPr>
        <w:tabs>
          <w:tab w:val="num" w:pos="2880"/>
        </w:tabs>
        <w:ind w:left="2880" w:hanging="360"/>
      </w:pPr>
    </w:lvl>
    <w:lvl w:ilvl="4" w:tplc="8FCE3AE6" w:tentative="1">
      <w:start w:val="1"/>
      <w:numFmt w:val="decimal"/>
      <w:lvlText w:val="%5."/>
      <w:lvlJc w:val="left"/>
      <w:pPr>
        <w:tabs>
          <w:tab w:val="num" w:pos="3600"/>
        </w:tabs>
        <w:ind w:left="3600" w:hanging="360"/>
      </w:pPr>
    </w:lvl>
    <w:lvl w:ilvl="5" w:tplc="F89C1B42" w:tentative="1">
      <w:start w:val="1"/>
      <w:numFmt w:val="decimal"/>
      <w:lvlText w:val="%6."/>
      <w:lvlJc w:val="left"/>
      <w:pPr>
        <w:tabs>
          <w:tab w:val="num" w:pos="4320"/>
        </w:tabs>
        <w:ind w:left="4320" w:hanging="360"/>
      </w:pPr>
    </w:lvl>
    <w:lvl w:ilvl="6" w:tplc="38FA5CBE" w:tentative="1">
      <w:start w:val="1"/>
      <w:numFmt w:val="decimal"/>
      <w:lvlText w:val="%7."/>
      <w:lvlJc w:val="left"/>
      <w:pPr>
        <w:tabs>
          <w:tab w:val="num" w:pos="5040"/>
        </w:tabs>
        <w:ind w:left="5040" w:hanging="360"/>
      </w:pPr>
    </w:lvl>
    <w:lvl w:ilvl="7" w:tplc="5EE02AE0" w:tentative="1">
      <w:start w:val="1"/>
      <w:numFmt w:val="decimal"/>
      <w:lvlText w:val="%8."/>
      <w:lvlJc w:val="left"/>
      <w:pPr>
        <w:tabs>
          <w:tab w:val="num" w:pos="5760"/>
        </w:tabs>
        <w:ind w:left="5760" w:hanging="360"/>
      </w:pPr>
    </w:lvl>
    <w:lvl w:ilvl="8" w:tplc="61B82510" w:tentative="1">
      <w:start w:val="1"/>
      <w:numFmt w:val="decimal"/>
      <w:lvlText w:val="%9."/>
      <w:lvlJc w:val="left"/>
      <w:pPr>
        <w:tabs>
          <w:tab w:val="num" w:pos="6480"/>
        </w:tabs>
        <w:ind w:left="6480" w:hanging="360"/>
      </w:pPr>
    </w:lvl>
  </w:abstractNum>
  <w:num w:numId="1" w16cid:durableId="2121340923">
    <w:abstractNumId w:val="0"/>
  </w:num>
  <w:num w:numId="2" w16cid:durableId="298653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52800"/>
    <w:rsid w:val="001C51B3"/>
    <w:rsid w:val="00234209"/>
    <w:rsid w:val="002537DA"/>
    <w:rsid w:val="002A0A1C"/>
    <w:rsid w:val="002A2B3C"/>
    <w:rsid w:val="002E1FED"/>
    <w:rsid w:val="00336B86"/>
    <w:rsid w:val="00372579"/>
    <w:rsid w:val="00373D34"/>
    <w:rsid w:val="003B0ABD"/>
    <w:rsid w:val="00431340"/>
    <w:rsid w:val="004B7E87"/>
    <w:rsid w:val="004C7508"/>
    <w:rsid w:val="004D1125"/>
    <w:rsid w:val="004E0E18"/>
    <w:rsid w:val="0059506C"/>
    <w:rsid w:val="005B77D8"/>
    <w:rsid w:val="00622C3F"/>
    <w:rsid w:val="006367F2"/>
    <w:rsid w:val="00646E7D"/>
    <w:rsid w:val="00654033"/>
    <w:rsid w:val="00665C88"/>
    <w:rsid w:val="00673656"/>
    <w:rsid w:val="006A4B9E"/>
    <w:rsid w:val="006D3652"/>
    <w:rsid w:val="0070599D"/>
    <w:rsid w:val="007679DD"/>
    <w:rsid w:val="00772B06"/>
    <w:rsid w:val="007752C7"/>
    <w:rsid w:val="0078067E"/>
    <w:rsid w:val="00781D43"/>
    <w:rsid w:val="007A59C5"/>
    <w:rsid w:val="00800A53"/>
    <w:rsid w:val="00807B49"/>
    <w:rsid w:val="00827794"/>
    <w:rsid w:val="00865D6E"/>
    <w:rsid w:val="0089695D"/>
    <w:rsid w:val="00982D7B"/>
    <w:rsid w:val="009C71BA"/>
    <w:rsid w:val="00BE265A"/>
    <w:rsid w:val="00BF77A7"/>
    <w:rsid w:val="00C17F75"/>
    <w:rsid w:val="00C43D21"/>
    <w:rsid w:val="00C4616B"/>
    <w:rsid w:val="00C67487"/>
    <w:rsid w:val="00CC179B"/>
    <w:rsid w:val="00D10E69"/>
    <w:rsid w:val="00D200AE"/>
    <w:rsid w:val="00D62B37"/>
    <w:rsid w:val="00D753D4"/>
    <w:rsid w:val="00D75778"/>
    <w:rsid w:val="00DB49DF"/>
    <w:rsid w:val="00DD4FF9"/>
    <w:rsid w:val="00F460D9"/>
    <w:rsid w:val="00F55548"/>
    <w:rsid w:val="00F6003F"/>
    <w:rsid w:val="00FD47E2"/>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2.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3.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321</Words>
  <Characters>2020</Characters>
  <Application>Microsoft Office Word</Application>
  <DocSecurity>0</DocSecurity>
  <Lines>34</Lines>
  <Paragraphs>16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Larry Loo</cp:lastModifiedBy>
  <cp:revision>4</cp:revision>
  <cp:lastPrinted>2026-05-14T14:36:00Z</cp:lastPrinted>
  <dcterms:created xsi:type="dcterms:W3CDTF">2026-05-24T06:04:00Z</dcterms:created>
  <dcterms:modified xsi:type="dcterms:W3CDTF">2026-05-24T06:08:00Z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