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0BA78A01" w14:textId="3565ECC8" w:rsidR="00155323" w:rsidRDefault="00155323" w:rsidP="00431340">
      <w:pPr>
        <w:pStyle w:val="Els-Author"/>
        <w:ind w:right="2"/>
        <w:rPr>
          <w:noProof w:val="0"/>
          <w:sz w:val="32"/>
          <w:szCs w:val="32"/>
        </w:rPr>
      </w:pPr>
      <w:r w:rsidRPr="00155323">
        <w:rPr>
          <w:noProof w:val="0"/>
          <w:sz w:val="32"/>
          <w:szCs w:val="32"/>
        </w:rPr>
        <w:t xml:space="preserve">Novel Proteolytic Fermentation Approach for Enhancing Bioactive Metabolite Production in Edible Bird’s Nest Glycoproteins </w:t>
      </w:r>
    </w:p>
    <w:p w14:paraId="5342D5C1" w14:textId="4A14665B" w:rsidR="00673656" w:rsidRPr="00673656" w:rsidRDefault="00FC0FBE" w:rsidP="00431340">
      <w:pPr>
        <w:pStyle w:val="Els-Author"/>
        <w:ind w:right="2"/>
        <w:rPr>
          <w:sz w:val="28"/>
          <w:szCs w:val="28"/>
        </w:rPr>
        <w:sectPr w:rsidR="00673656" w:rsidRPr="0067365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r w:rsidRPr="00FC0FBE">
        <w:rPr>
          <w:sz w:val="24"/>
          <w:szCs w:val="24"/>
          <w:lang w:val="nb-NO"/>
        </w:rPr>
        <w:t>Zhi Yin Ter</w:t>
      </w:r>
      <w:r w:rsidRPr="00FC0FBE">
        <w:rPr>
          <w:sz w:val="24"/>
          <w:szCs w:val="24"/>
          <w:vertAlign w:val="superscript"/>
          <w:lang w:val="nb-NO"/>
        </w:rPr>
        <w:t>a,b</w:t>
      </w:r>
      <w:r w:rsidRPr="00FC0FBE">
        <w:rPr>
          <w:sz w:val="24"/>
          <w:szCs w:val="24"/>
          <w:lang w:val="nb-NO"/>
        </w:rPr>
        <w:t>*, Abdul Salam Babji</w:t>
      </w:r>
      <w:r w:rsidRPr="00FC0FBE">
        <w:rPr>
          <w:sz w:val="24"/>
          <w:szCs w:val="24"/>
          <w:vertAlign w:val="superscript"/>
          <w:lang w:val="nb-NO"/>
        </w:rPr>
        <w:t>a,b</w:t>
      </w:r>
      <w:r>
        <w:rPr>
          <w:sz w:val="24"/>
          <w:szCs w:val="24"/>
          <w:lang w:val="nb-NO"/>
        </w:rPr>
        <w:t>,</w:t>
      </w:r>
      <w:r w:rsidRPr="00FC0FBE">
        <w:rPr>
          <w:sz w:val="24"/>
          <w:szCs w:val="24"/>
          <w:lang w:val="nb-NO"/>
        </w:rPr>
        <w:t xml:space="preserve"> </w:t>
      </w:r>
      <w:r w:rsidRPr="00FC0FBE">
        <w:rPr>
          <w:bCs/>
          <w:sz w:val="24"/>
        </w:rPr>
        <w:t>Koketsu Mamoru</w:t>
      </w:r>
      <w:r w:rsidRPr="00FC0FBE">
        <w:rPr>
          <w:bCs/>
          <w:sz w:val="24"/>
          <w:vertAlign w:val="superscript"/>
        </w:rPr>
        <w:t>c</w:t>
      </w:r>
      <w:r>
        <w:rPr>
          <w:b/>
          <w:sz w:val="24"/>
          <w:vertAlign w:val="superscript"/>
        </w:rPr>
        <w:t xml:space="preserve"> </w:t>
      </w:r>
      <w:r w:rsidRPr="00FC0FBE">
        <w:rPr>
          <w:sz w:val="24"/>
          <w:szCs w:val="24"/>
          <w:lang w:val="nb-NO"/>
        </w:rPr>
        <w:t>&amp;</w:t>
      </w:r>
      <w:r>
        <w:rPr>
          <w:sz w:val="24"/>
          <w:szCs w:val="24"/>
          <w:lang w:val="nb-NO"/>
        </w:rPr>
        <w:t xml:space="preserve"> </w:t>
      </w:r>
      <w:r w:rsidRPr="00FC0FBE">
        <w:rPr>
          <w:sz w:val="24"/>
          <w:szCs w:val="24"/>
          <w:lang w:val="nb-NO"/>
        </w:rPr>
        <w:t>Seng Joe Lim</w:t>
      </w:r>
      <w:r w:rsidRPr="00FC0FBE">
        <w:rPr>
          <w:sz w:val="24"/>
          <w:szCs w:val="24"/>
          <w:vertAlign w:val="superscript"/>
          <w:lang w:val="nb-NO"/>
        </w:rPr>
        <w:t>a,b</w:t>
      </w:r>
    </w:p>
    <w:p w14:paraId="14FC9C7C" w14:textId="4221B79D" w:rsidR="00FC0FBE" w:rsidRPr="00FC0FBE" w:rsidRDefault="004C7508" w:rsidP="00FC0FBE">
      <w:pPr>
        <w:pStyle w:val="Els-Affiliation"/>
        <w:rPr>
          <w:iCs/>
        </w:rPr>
      </w:pPr>
      <w:r>
        <w:rPr>
          <w:vertAlign w:val="superscript"/>
          <w:lang w:val="nb-NO"/>
        </w:rPr>
        <w:t>a</w:t>
      </w:r>
      <w:r w:rsidR="00FC0FBE" w:rsidRPr="00FC0FBE">
        <w:rPr>
          <w:lang w:val="nb-NO"/>
        </w:rPr>
        <w:t>Department of Food Sciences, Faculty of Science and Technology, Universiti Kebangsaan Malaysia, 43600 Bangi, Selangor, Malaysia</w:t>
      </w:r>
    </w:p>
    <w:p w14:paraId="79AA7396" w14:textId="05B1093E" w:rsidR="00FC0FBE" w:rsidRPr="00FC0FBE" w:rsidRDefault="00FC0FBE" w:rsidP="00FC0FBE">
      <w:pPr>
        <w:pStyle w:val="Els-Affiliation"/>
        <w:rPr>
          <w:lang w:val="nb-NO"/>
        </w:rPr>
      </w:pPr>
      <w:r w:rsidRPr="00FC0FBE">
        <w:rPr>
          <w:vertAlign w:val="superscript"/>
          <w:lang w:val="nb-NO"/>
        </w:rPr>
        <w:t>b</w:t>
      </w:r>
      <w:r w:rsidRPr="00FC0FBE">
        <w:rPr>
          <w:lang w:val="nb-NO"/>
        </w:rPr>
        <w:t>Innovation Centre for Confectionery Technology (MANIS), Faculty of Science and</w:t>
      </w:r>
      <w:r>
        <w:rPr>
          <w:lang w:val="nb-NO"/>
        </w:rPr>
        <w:t xml:space="preserve"> </w:t>
      </w:r>
      <w:r w:rsidRPr="00FC0FBE">
        <w:rPr>
          <w:lang w:val="nb-NO"/>
        </w:rPr>
        <w:t>Technology, Universiti Kebangsaan Malaysia, 43600 UKM Bangi, Selangor, Malaysia</w:t>
      </w:r>
    </w:p>
    <w:p w14:paraId="05A3C6FA" w14:textId="258F10AC" w:rsidR="00431340" w:rsidRDefault="00FC0FBE" w:rsidP="00FC0FBE">
      <w:pPr>
        <w:pStyle w:val="Els-Affiliation"/>
        <w:spacing w:after="400"/>
        <w:rPr>
          <w:lang w:eastAsia="zh-CN"/>
        </w:rPr>
      </w:pPr>
      <w:r w:rsidRPr="00FC0FBE">
        <w:rPr>
          <w:vertAlign w:val="superscript"/>
          <w:lang w:val="nb-NO"/>
        </w:rPr>
        <w:t>c</w:t>
      </w:r>
      <w:r w:rsidRPr="00FC0FBE">
        <w:rPr>
          <w:lang w:val="nb-NO"/>
        </w:rPr>
        <w:t>Department of Chemistry and Biomolecular Science, Faculty of Engineering, Gifu University, 1-1 Yanagido, Gifu 501-1193, Japan</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7687299F" w14:textId="2DF161D3" w:rsidR="007679DD" w:rsidRDefault="00FC0FBE" w:rsidP="00FC0FBE">
      <w:pPr>
        <w:jc w:val="both"/>
        <w:rPr>
          <w:rFonts w:ascii="Times New Roman" w:eastAsia="SimSun" w:hAnsi="Times New Roman" w:cs="Times New Roman"/>
          <w:sz w:val="20"/>
          <w:szCs w:val="20"/>
          <w:lang w:val="en-US"/>
        </w:rPr>
      </w:pPr>
      <w:r w:rsidRPr="003A0108">
        <w:rPr>
          <w:rFonts w:ascii="Times New Roman" w:eastAsia="SimSun" w:hAnsi="Times New Roman" w:cs="Times New Roman"/>
          <w:sz w:val="20"/>
          <w:szCs w:val="20"/>
          <w:lang w:val="en-US"/>
        </w:rPr>
        <w:t xml:space="preserve">Edible bird’s nest (EBN) is a highly valued functional food known for its rich glycoprotein content and associated health benefits </w:t>
      </w:r>
      <w:r w:rsidRPr="003A0108">
        <w:rPr>
          <w:rFonts w:ascii="Times New Roman" w:hAnsi="Times New Roman" w:cs="Times New Roman"/>
          <w:sz w:val="20"/>
        </w:rPr>
        <w:t>[1]</w:t>
      </w:r>
      <w:r w:rsidRPr="003A0108">
        <w:rPr>
          <w:rFonts w:ascii="Times New Roman" w:eastAsia="SimSun" w:hAnsi="Times New Roman" w:cs="Times New Roman"/>
          <w:sz w:val="20"/>
          <w:szCs w:val="20"/>
          <w:lang w:val="en-US"/>
        </w:rPr>
        <w:t xml:space="preserve">. However, the complex structure of EBN glycoproteins limits the release and bioavailability of its functional compounds </w:t>
      </w:r>
      <w:r w:rsidRPr="003A0108">
        <w:rPr>
          <w:rFonts w:ascii="Times New Roman" w:hAnsi="Times New Roman" w:cs="Times New Roman"/>
          <w:sz w:val="20"/>
        </w:rPr>
        <w:t>[2]</w:t>
      </w:r>
      <w:r w:rsidRPr="003A0108">
        <w:rPr>
          <w:rFonts w:ascii="Times New Roman" w:eastAsia="SimSun" w:hAnsi="Times New Roman" w:cs="Times New Roman"/>
          <w:sz w:val="20"/>
          <w:szCs w:val="20"/>
          <w:lang w:val="en-US"/>
        </w:rPr>
        <w:t xml:space="preserve">. In this study, a novel proteolytic fermentation approach </w:t>
      </w:r>
      <w:r w:rsidR="00B02223" w:rsidRPr="003A0108">
        <w:rPr>
          <w:rFonts w:ascii="Times New Roman" w:eastAsia="SimSun" w:hAnsi="Times New Roman" w:cs="Times New Roman"/>
          <w:sz w:val="20"/>
          <w:szCs w:val="20"/>
          <w:lang w:val="en-US"/>
        </w:rPr>
        <w:t xml:space="preserve">(PI2023005071) </w:t>
      </w:r>
      <w:r w:rsidRPr="003A0108">
        <w:rPr>
          <w:rFonts w:ascii="Times New Roman" w:eastAsia="SimSun" w:hAnsi="Times New Roman" w:cs="Times New Roman"/>
          <w:sz w:val="20"/>
          <w:szCs w:val="20"/>
          <w:lang w:val="en-US"/>
        </w:rPr>
        <w:t xml:space="preserve">was </w:t>
      </w:r>
      <w:r w:rsidR="008C1EDE" w:rsidRPr="003A0108">
        <w:rPr>
          <w:rFonts w:ascii="Times New Roman" w:eastAsia="SimSun" w:hAnsi="Times New Roman" w:cs="Times New Roman"/>
          <w:sz w:val="20"/>
          <w:szCs w:val="20"/>
          <w:lang w:val="en-US"/>
        </w:rPr>
        <w:t xml:space="preserve">developed </w:t>
      </w:r>
      <w:r w:rsidRPr="003A0108">
        <w:rPr>
          <w:rFonts w:ascii="Times New Roman" w:eastAsia="SimSun" w:hAnsi="Times New Roman" w:cs="Times New Roman"/>
          <w:sz w:val="20"/>
          <w:szCs w:val="20"/>
          <w:lang w:val="en-US"/>
        </w:rPr>
        <w:t>to enhance the functional and bioactive properties of EBN using selected lactic acid bacteria</w:t>
      </w:r>
      <w:r w:rsidR="008C1EDE" w:rsidRPr="003A0108">
        <w:rPr>
          <w:rFonts w:ascii="Times New Roman" w:eastAsia="SimSun" w:hAnsi="Times New Roman" w:cs="Times New Roman"/>
          <w:sz w:val="20"/>
          <w:szCs w:val="20"/>
          <w:lang w:val="en-US"/>
        </w:rPr>
        <w:t xml:space="preserve"> (LAB)</w:t>
      </w:r>
      <w:r w:rsidRPr="003A0108">
        <w:rPr>
          <w:rFonts w:ascii="Times New Roman" w:eastAsia="SimSun" w:hAnsi="Times New Roman" w:cs="Times New Roman"/>
          <w:sz w:val="20"/>
          <w:szCs w:val="20"/>
          <w:lang w:val="en-US"/>
        </w:rPr>
        <w:t xml:space="preserve">, namely </w:t>
      </w:r>
      <w:r w:rsidRPr="003A0108">
        <w:rPr>
          <w:rFonts w:ascii="Times New Roman" w:eastAsia="SimSun" w:hAnsi="Times New Roman" w:cs="Times New Roman"/>
          <w:i/>
          <w:iCs/>
          <w:sz w:val="20"/>
          <w:szCs w:val="20"/>
          <w:lang w:val="en-US"/>
        </w:rPr>
        <w:t xml:space="preserve">Lactobacillus </w:t>
      </w:r>
      <w:proofErr w:type="spellStart"/>
      <w:r w:rsidRPr="003A0108">
        <w:rPr>
          <w:rFonts w:ascii="Times New Roman" w:eastAsia="SimSun" w:hAnsi="Times New Roman" w:cs="Times New Roman"/>
          <w:i/>
          <w:iCs/>
          <w:sz w:val="20"/>
          <w:szCs w:val="20"/>
          <w:lang w:val="en-US"/>
        </w:rPr>
        <w:t>helveticus</w:t>
      </w:r>
      <w:proofErr w:type="spellEnd"/>
      <w:r w:rsidRPr="003A0108">
        <w:rPr>
          <w:rFonts w:ascii="Times New Roman" w:eastAsia="SimSun" w:hAnsi="Times New Roman" w:cs="Times New Roman"/>
          <w:sz w:val="20"/>
          <w:szCs w:val="20"/>
          <w:lang w:val="en-US"/>
        </w:rPr>
        <w:t xml:space="preserve">, </w:t>
      </w:r>
      <w:proofErr w:type="spellStart"/>
      <w:r w:rsidRPr="003A0108">
        <w:rPr>
          <w:rFonts w:ascii="Times New Roman" w:eastAsia="SimSun" w:hAnsi="Times New Roman" w:cs="Times New Roman"/>
          <w:i/>
          <w:iCs/>
          <w:sz w:val="20"/>
          <w:szCs w:val="20"/>
          <w:lang w:val="en-US"/>
        </w:rPr>
        <w:t>Latilactobacillus</w:t>
      </w:r>
      <w:proofErr w:type="spellEnd"/>
      <w:r w:rsidRPr="003A0108">
        <w:rPr>
          <w:rFonts w:ascii="Times New Roman" w:eastAsia="SimSun" w:hAnsi="Times New Roman" w:cs="Times New Roman"/>
          <w:i/>
          <w:iCs/>
          <w:sz w:val="20"/>
          <w:szCs w:val="20"/>
          <w:lang w:val="en-US"/>
        </w:rPr>
        <w:t xml:space="preserve"> </w:t>
      </w:r>
      <w:proofErr w:type="spellStart"/>
      <w:r w:rsidRPr="003A0108">
        <w:rPr>
          <w:rFonts w:ascii="Times New Roman" w:eastAsia="SimSun" w:hAnsi="Times New Roman" w:cs="Times New Roman"/>
          <w:i/>
          <w:iCs/>
          <w:sz w:val="20"/>
          <w:szCs w:val="20"/>
          <w:lang w:val="en-US"/>
        </w:rPr>
        <w:t>curvatus</w:t>
      </w:r>
      <w:proofErr w:type="spellEnd"/>
      <w:r w:rsidRPr="003A0108">
        <w:rPr>
          <w:rFonts w:ascii="Times New Roman" w:eastAsia="SimSun" w:hAnsi="Times New Roman" w:cs="Times New Roman"/>
          <w:sz w:val="20"/>
          <w:szCs w:val="20"/>
          <w:lang w:val="en-US"/>
        </w:rPr>
        <w:t xml:space="preserve">, and </w:t>
      </w:r>
      <w:proofErr w:type="spellStart"/>
      <w:r w:rsidRPr="003A0108">
        <w:rPr>
          <w:rFonts w:ascii="Times New Roman" w:eastAsia="SimSun" w:hAnsi="Times New Roman" w:cs="Times New Roman"/>
          <w:i/>
          <w:iCs/>
          <w:sz w:val="20"/>
          <w:szCs w:val="20"/>
          <w:lang w:val="en-US"/>
        </w:rPr>
        <w:t>Latilactobacillus</w:t>
      </w:r>
      <w:proofErr w:type="spellEnd"/>
      <w:r w:rsidRPr="003A0108">
        <w:rPr>
          <w:rFonts w:ascii="Times New Roman" w:eastAsia="SimSun" w:hAnsi="Times New Roman" w:cs="Times New Roman"/>
          <w:i/>
          <w:iCs/>
          <w:sz w:val="20"/>
          <w:szCs w:val="20"/>
          <w:lang w:val="en-US"/>
        </w:rPr>
        <w:t xml:space="preserve"> </w:t>
      </w:r>
      <w:proofErr w:type="spellStart"/>
      <w:r w:rsidRPr="003A0108">
        <w:rPr>
          <w:rFonts w:ascii="Times New Roman" w:eastAsia="SimSun" w:hAnsi="Times New Roman" w:cs="Times New Roman"/>
          <w:i/>
          <w:iCs/>
          <w:sz w:val="20"/>
          <w:szCs w:val="20"/>
          <w:lang w:val="en-US"/>
        </w:rPr>
        <w:t>sakei</w:t>
      </w:r>
      <w:proofErr w:type="spellEnd"/>
      <w:r w:rsidRPr="003A0108">
        <w:rPr>
          <w:rFonts w:ascii="Times New Roman" w:eastAsia="SimSun" w:hAnsi="Times New Roman" w:cs="Times New Roman"/>
          <w:sz w:val="20"/>
          <w:szCs w:val="20"/>
          <w:lang w:val="en-US"/>
        </w:rPr>
        <w:t>. Fermentation conditions, including fermentation time, EBN concentration, and</w:t>
      </w:r>
      <w:r w:rsidR="008C1EDE" w:rsidRPr="003A0108">
        <w:rPr>
          <w:rFonts w:ascii="Times New Roman" w:eastAsia="SimSun" w:hAnsi="Times New Roman" w:cs="Times New Roman"/>
          <w:sz w:val="20"/>
          <w:szCs w:val="20"/>
          <w:lang w:val="en-US"/>
        </w:rPr>
        <w:t xml:space="preserve"> LAB</w:t>
      </w:r>
      <w:r w:rsidRPr="003A0108">
        <w:rPr>
          <w:rFonts w:ascii="Times New Roman" w:eastAsia="SimSun" w:hAnsi="Times New Roman" w:cs="Times New Roman"/>
          <w:sz w:val="20"/>
          <w:szCs w:val="20"/>
          <w:lang w:val="en-US"/>
        </w:rPr>
        <w:t xml:space="preserve"> inoculum level, were </w:t>
      </w:r>
      <w:proofErr w:type="spellStart"/>
      <w:r w:rsidRPr="003A0108">
        <w:rPr>
          <w:rFonts w:ascii="Times New Roman" w:eastAsia="SimSun" w:hAnsi="Times New Roman" w:cs="Times New Roman"/>
          <w:sz w:val="20"/>
          <w:szCs w:val="20"/>
          <w:lang w:val="en-US"/>
        </w:rPr>
        <w:t>optimised</w:t>
      </w:r>
      <w:proofErr w:type="spellEnd"/>
      <w:r w:rsidRPr="003A0108">
        <w:rPr>
          <w:rFonts w:ascii="Times New Roman" w:eastAsia="SimSun" w:hAnsi="Times New Roman" w:cs="Times New Roman"/>
          <w:sz w:val="20"/>
          <w:szCs w:val="20"/>
          <w:lang w:val="en-US"/>
        </w:rPr>
        <w:t xml:space="preserve"> using response surface methodology</w:t>
      </w:r>
      <w:r w:rsidR="008C1EDE" w:rsidRPr="003A0108">
        <w:rPr>
          <w:rFonts w:ascii="Times New Roman" w:eastAsia="SimSun" w:hAnsi="Times New Roman" w:cs="Times New Roman"/>
          <w:sz w:val="20"/>
          <w:szCs w:val="20"/>
          <w:lang w:val="en-US"/>
        </w:rPr>
        <w:t xml:space="preserve">. </w:t>
      </w:r>
      <w:r w:rsidRPr="003A0108">
        <w:rPr>
          <w:rFonts w:ascii="Times New Roman" w:eastAsia="SimSun" w:hAnsi="Times New Roman" w:cs="Times New Roman"/>
          <w:sz w:val="20"/>
          <w:szCs w:val="20"/>
          <w:lang w:val="en-US"/>
        </w:rPr>
        <w:t>The fermented EBN samples exhibited significant improvements (</w:t>
      </w:r>
      <w:r w:rsidRPr="003A0108">
        <w:rPr>
          <w:rFonts w:ascii="Times New Roman" w:eastAsia="SimSun" w:hAnsi="Times New Roman" w:cs="Times New Roman"/>
          <w:i/>
          <w:iCs/>
          <w:sz w:val="20"/>
          <w:szCs w:val="20"/>
          <w:lang w:val="en-US"/>
        </w:rPr>
        <w:t>p</w:t>
      </w:r>
      <w:r w:rsidRPr="003A0108">
        <w:rPr>
          <w:rFonts w:ascii="Times New Roman" w:eastAsia="SimSun" w:hAnsi="Times New Roman" w:cs="Times New Roman"/>
          <w:sz w:val="20"/>
          <w:szCs w:val="20"/>
          <w:lang w:val="en-US"/>
        </w:rPr>
        <w:t>&lt;0.05) in physicochemical properties, including increased recovery yield</w:t>
      </w:r>
      <w:r w:rsidR="00E27A62" w:rsidRPr="003A0108">
        <w:rPr>
          <w:rFonts w:ascii="Times New Roman" w:eastAsia="SimSun" w:hAnsi="Times New Roman" w:cs="Times New Roman"/>
          <w:sz w:val="20"/>
          <w:szCs w:val="20"/>
          <w:lang w:val="en-US"/>
        </w:rPr>
        <w:t xml:space="preserve"> (47.94–59.65%)</w:t>
      </w:r>
      <w:r w:rsidRPr="003A0108">
        <w:rPr>
          <w:rFonts w:ascii="Times New Roman" w:eastAsia="SimSun" w:hAnsi="Times New Roman" w:cs="Times New Roman"/>
          <w:sz w:val="20"/>
          <w:szCs w:val="20"/>
          <w:lang w:val="en-US"/>
        </w:rPr>
        <w:t xml:space="preserve">, </w:t>
      </w:r>
      <w:r w:rsidR="00E27A62" w:rsidRPr="003A0108">
        <w:rPr>
          <w:rFonts w:ascii="Times New Roman" w:eastAsia="SimSun" w:hAnsi="Times New Roman" w:cs="Times New Roman"/>
          <w:sz w:val="20"/>
          <w:szCs w:val="20"/>
          <w:lang w:val="en-US"/>
        </w:rPr>
        <w:t xml:space="preserve">total </w:t>
      </w:r>
      <w:r w:rsidRPr="003A0108">
        <w:rPr>
          <w:rFonts w:ascii="Times New Roman" w:eastAsia="SimSun" w:hAnsi="Times New Roman" w:cs="Times New Roman"/>
          <w:sz w:val="20"/>
          <w:szCs w:val="20"/>
          <w:lang w:val="en-US"/>
        </w:rPr>
        <w:t>peptide content</w:t>
      </w:r>
      <w:r w:rsidR="00E27A62" w:rsidRPr="003A0108">
        <w:rPr>
          <w:rFonts w:ascii="Times New Roman" w:eastAsia="SimSun" w:hAnsi="Times New Roman" w:cs="Times New Roman"/>
          <w:sz w:val="20"/>
          <w:szCs w:val="20"/>
          <w:lang w:val="en-US"/>
        </w:rPr>
        <w:t xml:space="preserve"> (111.07–196.93%)</w:t>
      </w:r>
      <w:r w:rsidRPr="003A0108">
        <w:rPr>
          <w:rFonts w:ascii="Times New Roman" w:eastAsia="SimSun" w:hAnsi="Times New Roman" w:cs="Times New Roman"/>
          <w:sz w:val="20"/>
          <w:szCs w:val="20"/>
          <w:lang w:val="en-US"/>
        </w:rPr>
        <w:t xml:space="preserve">, and total sugar content </w:t>
      </w:r>
      <w:r w:rsidR="00E27A62" w:rsidRPr="003A0108">
        <w:rPr>
          <w:rFonts w:ascii="Times New Roman" w:eastAsia="SimSun" w:hAnsi="Times New Roman" w:cs="Times New Roman"/>
          <w:sz w:val="20"/>
          <w:szCs w:val="20"/>
          <w:lang w:val="en-US"/>
        </w:rPr>
        <w:t xml:space="preserve">(22.39–99.63%) </w:t>
      </w:r>
      <w:r w:rsidRPr="003A0108">
        <w:rPr>
          <w:rFonts w:ascii="Times New Roman" w:eastAsia="SimSun" w:hAnsi="Times New Roman" w:cs="Times New Roman"/>
          <w:sz w:val="20"/>
          <w:szCs w:val="20"/>
          <w:lang w:val="en-US"/>
        </w:rPr>
        <w:t xml:space="preserve">compared to conventional double-boiled EBN. In addition, </w:t>
      </w:r>
      <w:r w:rsidR="00B02223">
        <w:rPr>
          <w:rFonts w:ascii="Times New Roman" w:eastAsia="SimSun" w:hAnsi="Times New Roman" w:cs="Times New Roman"/>
          <w:sz w:val="20"/>
          <w:szCs w:val="20"/>
          <w:lang w:val="en-US"/>
        </w:rPr>
        <w:t xml:space="preserve">proteolytic </w:t>
      </w:r>
      <w:r w:rsidRPr="003A0108">
        <w:rPr>
          <w:rFonts w:ascii="Times New Roman" w:eastAsia="SimSun" w:hAnsi="Times New Roman" w:cs="Times New Roman"/>
          <w:sz w:val="20"/>
          <w:szCs w:val="20"/>
          <w:lang w:val="en-US"/>
        </w:rPr>
        <w:t xml:space="preserve">fermentation markedly enhanced the antioxidative, antihypertensive, and antihyperglycemic activities of EBN, with nearly twofold increases observed after treatment. Metabolomic analysis using liquid chromatography–mass spectrometry (LC-MS) identified 76 metabolites in fermented EBN, including peptides, amino acids, carbohydrates, organic acids, vitamins, phenolic compounds, and </w:t>
      </w:r>
      <w:proofErr w:type="spellStart"/>
      <w:r w:rsidRPr="003A0108">
        <w:rPr>
          <w:rFonts w:ascii="Times New Roman" w:eastAsia="SimSun" w:hAnsi="Times New Roman" w:cs="Times New Roman"/>
          <w:sz w:val="20"/>
          <w:szCs w:val="20"/>
          <w:lang w:val="en-US"/>
        </w:rPr>
        <w:t>flavour</w:t>
      </w:r>
      <w:proofErr w:type="spellEnd"/>
      <w:r w:rsidRPr="003A0108">
        <w:rPr>
          <w:rFonts w:ascii="Times New Roman" w:eastAsia="SimSun" w:hAnsi="Times New Roman" w:cs="Times New Roman"/>
          <w:sz w:val="20"/>
          <w:szCs w:val="20"/>
          <w:lang w:val="en-US"/>
        </w:rPr>
        <w:t>-related compounds</w:t>
      </w:r>
      <w:r w:rsidR="00D90551" w:rsidRPr="003A0108">
        <w:rPr>
          <w:rFonts w:ascii="Times New Roman" w:eastAsia="SimSun" w:hAnsi="Times New Roman" w:cs="Times New Roman"/>
          <w:sz w:val="20"/>
          <w:szCs w:val="20"/>
          <w:lang w:val="en-US"/>
        </w:rPr>
        <w:t xml:space="preserve">, </w:t>
      </w:r>
      <w:r w:rsidR="00B02223" w:rsidRPr="00B02223">
        <w:rPr>
          <w:rFonts w:ascii="Times New Roman" w:eastAsia="SimSun" w:hAnsi="Times New Roman" w:cs="Times New Roman"/>
          <w:sz w:val="20"/>
          <w:szCs w:val="20"/>
          <w:lang w:val="en-US"/>
        </w:rPr>
        <w:t>which was higher than those detected in</w:t>
      </w:r>
      <w:r w:rsidR="00B02223">
        <w:rPr>
          <w:rFonts w:ascii="Times New Roman" w:eastAsia="SimSun" w:hAnsi="Times New Roman" w:cs="Times New Roman"/>
          <w:sz w:val="20"/>
          <w:szCs w:val="20"/>
          <w:lang w:val="en-US"/>
        </w:rPr>
        <w:t xml:space="preserve"> </w:t>
      </w:r>
      <w:r w:rsidR="00D90551" w:rsidRPr="003A0108">
        <w:rPr>
          <w:rFonts w:ascii="Times New Roman" w:eastAsia="SimSun" w:hAnsi="Times New Roman" w:cs="Times New Roman"/>
          <w:sz w:val="20"/>
          <w:szCs w:val="20"/>
          <w:lang w:val="en-US"/>
        </w:rPr>
        <w:t>double-boiled EBN (37 metabolites)</w:t>
      </w:r>
      <w:r w:rsidR="00D90551" w:rsidRPr="00D90551">
        <w:rPr>
          <w:rFonts w:ascii="Times New Roman" w:eastAsia="SimSun" w:hAnsi="Times New Roman" w:cs="Times New Roman"/>
          <w:sz w:val="20"/>
          <w:szCs w:val="20"/>
          <w:lang w:val="en-US"/>
        </w:rPr>
        <w:t xml:space="preserve">. </w:t>
      </w:r>
      <w:r w:rsidRPr="00FC0FBE">
        <w:rPr>
          <w:rFonts w:ascii="Times New Roman" w:eastAsia="SimSun" w:hAnsi="Times New Roman" w:cs="Times New Roman"/>
          <w:sz w:val="20"/>
          <w:szCs w:val="20"/>
          <w:lang w:val="en-US"/>
        </w:rPr>
        <w:t>Multivariate statistical analyses further identified several key metabolites that may contribute to the improved bioactivities of fermented EBN. Overall, this study highlights proteolytic fermentation as an effective and sustainable strategy to enhance the nutraceutical value of EBN and supports its future application as a high-value functional food ingredient.</w:t>
      </w:r>
    </w:p>
    <w:p w14:paraId="0AE07FD0" w14:textId="77777777" w:rsidR="002A0A1C" w:rsidRPr="00C67487" w:rsidRDefault="002A0A1C" w:rsidP="00665C88">
      <w:pPr>
        <w:pStyle w:val="Els-keywords"/>
        <w:spacing w:after="120" w:line="240" w:lineRule="auto"/>
        <w:rPr>
          <w:b/>
          <w:sz w:val="20"/>
        </w:rPr>
      </w:pPr>
      <w:r w:rsidRPr="00C67487">
        <w:rPr>
          <w:b/>
          <w:sz w:val="20"/>
        </w:rPr>
        <w:t>References</w:t>
      </w:r>
    </w:p>
    <w:p w14:paraId="6911FF96" w14:textId="0B12B7D7" w:rsidR="00665C88" w:rsidRPr="00665C88" w:rsidRDefault="002A0A1C" w:rsidP="003A0108">
      <w:pPr>
        <w:pStyle w:val="Els-keywords"/>
        <w:spacing w:after="120" w:line="240" w:lineRule="auto"/>
        <w:jc w:val="both"/>
        <w:rPr>
          <w:sz w:val="20"/>
        </w:rPr>
      </w:pPr>
      <w:r w:rsidRPr="00C67487">
        <w:rPr>
          <w:sz w:val="20"/>
        </w:rPr>
        <w:t xml:space="preserve">[1] </w:t>
      </w:r>
      <w:r w:rsidR="003A0108" w:rsidRPr="003A0108">
        <w:rPr>
          <w:sz w:val="20"/>
        </w:rPr>
        <w:t>S. L. Mun, Z. Y. Ter, R. M. Ariff, N. F. A. Rahman, L. S. Chang, J. Latip, A. S. Babji &amp; S. J. Lim, “Fractionation and characterisation of sialylated-mucin glycoprotein from edible bird's nest hydrolysates through anion exchange chromatography”, International Journal of Biological Macromolecules, Vol. 269, Part 1, pp. 132022, 2024.</w:t>
      </w:r>
    </w:p>
    <w:p w14:paraId="7BC67066" w14:textId="18CEF824" w:rsidR="003B0ABD" w:rsidRPr="002537DA" w:rsidRDefault="002A0A1C" w:rsidP="003A0108">
      <w:pPr>
        <w:pStyle w:val="Els-keywords"/>
        <w:spacing w:after="120" w:line="240" w:lineRule="auto"/>
        <w:jc w:val="both"/>
        <w:rPr>
          <w:sz w:val="20"/>
        </w:rPr>
      </w:pPr>
      <w:r w:rsidRPr="00C67487">
        <w:rPr>
          <w:sz w:val="20"/>
        </w:rPr>
        <w:t xml:space="preserve">[2] </w:t>
      </w:r>
      <w:r w:rsidR="003A0108" w:rsidRPr="003A0108">
        <w:rPr>
          <w:sz w:val="20"/>
        </w:rPr>
        <w:t>Z. Y. Ter, L. S. Chang, A. S. Babji, M. Koketsu &amp; S. J. Lim, “Unlocking the potential of edible bird's nest as a novel source of bioactive peptides through various glycoprotein hydrolysis method: A review”, Journal of the Science of Food and Agriculture, Vol. 106, No. 3, pp. 1423–1437, 2026.</w:t>
      </w:r>
    </w:p>
    <w:sectPr w:rsidR="003B0ABD" w:rsidRPr="002537DA"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62E65" w14:textId="77777777" w:rsidR="000E343C" w:rsidRDefault="000E343C" w:rsidP="00431340">
      <w:pPr>
        <w:spacing w:after="0" w:line="240" w:lineRule="auto"/>
      </w:pPr>
      <w:r>
        <w:separator/>
      </w:r>
    </w:p>
  </w:endnote>
  <w:endnote w:type="continuationSeparator" w:id="0">
    <w:p w14:paraId="557E42B2" w14:textId="77777777" w:rsidR="000E343C" w:rsidRDefault="000E343C"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164D5" w14:textId="77777777" w:rsidR="000E343C" w:rsidRDefault="000E343C" w:rsidP="00431340">
      <w:pPr>
        <w:spacing w:after="0" w:line="240" w:lineRule="auto"/>
      </w:pPr>
      <w:r>
        <w:separator/>
      </w:r>
    </w:p>
  </w:footnote>
  <w:footnote w:type="continuationSeparator" w:id="0">
    <w:p w14:paraId="7371E557" w14:textId="77777777" w:rsidR="000E343C" w:rsidRDefault="000E343C" w:rsidP="0043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E343C"/>
    <w:rsid w:val="00155323"/>
    <w:rsid w:val="001C51B3"/>
    <w:rsid w:val="00234209"/>
    <w:rsid w:val="002537DA"/>
    <w:rsid w:val="002A0A1C"/>
    <w:rsid w:val="002A2B3C"/>
    <w:rsid w:val="00372579"/>
    <w:rsid w:val="003A0108"/>
    <w:rsid w:val="003B0ABD"/>
    <w:rsid w:val="00431340"/>
    <w:rsid w:val="004B7E87"/>
    <w:rsid w:val="004C7508"/>
    <w:rsid w:val="004D1125"/>
    <w:rsid w:val="004F5888"/>
    <w:rsid w:val="0059506C"/>
    <w:rsid w:val="005B77D8"/>
    <w:rsid w:val="005F0CD1"/>
    <w:rsid w:val="00646E7D"/>
    <w:rsid w:val="00654033"/>
    <w:rsid w:val="00665C88"/>
    <w:rsid w:val="00673656"/>
    <w:rsid w:val="006D3652"/>
    <w:rsid w:val="0070599D"/>
    <w:rsid w:val="007679DD"/>
    <w:rsid w:val="00772B06"/>
    <w:rsid w:val="007752C7"/>
    <w:rsid w:val="0078067E"/>
    <w:rsid w:val="00781D43"/>
    <w:rsid w:val="00827794"/>
    <w:rsid w:val="008C1EDE"/>
    <w:rsid w:val="009C71BA"/>
    <w:rsid w:val="00A13B8C"/>
    <w:rsid w:val="00A76AF9"/>
    <w:rsid w:val="00B02223"/>
    <w:rsid w:val="00BE265A"/>
    <w:rsid w:val="00BF77A7"/>
    <w:rsid w:val="00C17F75"/>
    <w:rsid w:val="00C4616B"/>
    <w:rsid w:val="00C67487"/>
    <w:rsid w:val="00CC179B"/>
    <w:rsid w:val="00D10E69"/>
    <w:rsid w:val="00D753D4"/>
    <w:rsid w:val="00D90551"/>
    <w:rsid w:val="00DD4FF9"/>
    <w:rsid w:val="00E27A62"/>
    <w:rsid w:val="00F55548"/>
    <w:rsid w:val="00FC0FBE"/>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2.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3.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4.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2105</TotalTime>
  <Pages>1</Pages>
  <Words>470</Words>
  <Characters>2681</Characters>
  <Application>Microsoft Office Word</Application>
  <DocSecurity>0</DocSecurity>
  <Lines>22</Lines>
  <Paragraphs>6</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Pentaksir</cp:lastModifiedBy>
  <cp:revision>8</cp:revision>
  <dcterms:created xsi:type="dcterms:W3CDTF">2026-02-04T06:37:00Z</dcterms:created>
  <dcterms:modified xsi:type="dcterms:W3CDTF">2026-05-14T15:58:00Z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