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AB3B5D" w14:textId="007B0D8C" w:rsidR="00AE7B51" w:rsidRDefault="00AE7B51" w:rsidP="003653E9">
      <w:pPr>
        <w:jc w:val="both"/>
        <w:rPr>
          <w:rFonts w:ascii="Arial" w:hAnsi="Arial" w:cs="Arial"/>
          <w:b/>
          <w:bCs/>
          <w:color w:val="000000"/>
          <w:lang w:val="en-GB"/>
        </w:rPr>
      </w:pPr>
      <w:r w:rsidRPr="00AE7B51">
        <w:rPr>
          <w:rFonts w:ascii="Arial" w:hAnsi="Arial" w:cs="Arial"/>
          <w:b/>
          <w:bCs/>
          <w:color w:val="000000"/>
          <w:lang w:val="en-GB"/>
        </w:rPr>
        <w:t xml:space="preserve">FROM DIET TO BIOMARKERS: ASSESSING ACRYLAMIDE EXPOSURE IN SINGAPORE </w:t>
      </w:r>
    </w:p>
    <w:p w14:paraId="4B494B51" w14:textId="313B3D4B" w:rsidR="003653E9" w:rsidRPr="00613914" w:rsidRDefault="003653E9" w:rsidP="003653E9">
      <w:pPr>
        <w:jc w:val="both"/>
        <w:rPr>
          <w:rFonts w:ascii="Aptos" w:hAnsi="Aptos"/>
          <w:color w:val="212121"/>
          <w:lang w:val="en-GB"/>
        </w:rPr>
      </w:pPr>
      <w:r w:rsidRPr="00613914">
        <w:rPr>
          <w:rFonts w:ascii="Arial" w:hAnsi="Arial" w:cs="Arial"/>
          <w:b/>
          <w:bCs/>
          <w:color w:val="000000"/>
          <w:lang w:val="en-GB"/>
        </w:rPr>
        <w:t> </w:t>
      </w:r>
    </w:p>
    <w:p w14:paraId="55DB481A" w14:textId="77777777" w:rsidR="003653E9" w:rsidRPr="00613914" w:rsidRDefault="003653E9" w:rsidP="003653E9">
      <w:pPr>
        <w:jc w:val="both"/>
        <w:rPr>
          <w:rFonts w:ascii="Aptos" w:hAnsi="Aptos"/>
          <w:color w:val="212121"/>
          <w:lang w:val="en-GB"/>
        </w:rPr>
      </w:pPr>
      <w:r w:rsidRPr="00613914">
        <w:rPr>
          <w:rFonts w:ascii="Arial" w:hAnsi="Arial" w:cs="Arial"/>
          <w:color w:val="000000"/>
          <w:sz w:val="22"/>
          <w:szCs w:val="22"/>
          <w:lang w:val="en-GB"/>
        </w:rPr>
        <w:t>Angela Li</w:t>
      </w:r>
      <w:r w:rsidRPr="00613914">
        <w:rPr>
          <w:rFonts w:ascii="Arial" w:hAnsi="Arial" w:cs="Arial"/>
          <w:color w:val="000000"/>
          <w:sz w:val="22"/>
          <w:szCs w:val="22"/>
          <w:vertAlign w:val="superscript"/>
          <w:lang w:val="en-GB"/>
        </w:rPr>
        <w:t>1,2</w:t>
      </w:r>
      <w:r w:rsidRPr="00613914">
        <w:rPr>
          <w:rFonts w:ascii="Arial" w:hAnsi="Arial" w:cs="Arial"/>
          <w:color w:val="000000"/>
          <w:sz w:val="22"/>
          <w:szCs w:val="22"/>
          <w:lang w:val="en-GB"/>
        </w:rPr>
        <w:t>, Gao Liang</w:t>
      </w:r>
      <w:r w:rsidRPr="00613914">
        <w:rPr>
          <w:rFonts w:ascii="Arial" w:hAnsi="Arial" w:cs="Arial"/>
          <w:color w:val="000000"/>
          <w:sz w:val="22"/>
          <w:szCs w:val="22"/>
          <w:vertAlign w:val="superscript"/>
          <w:lang w:val="en-GB"/>
        </w:rPr>
        <w:t>3</w:t>
      </w:r>
      <w:r w:rsidRPr="00613914">
        <w:rPr>
          <w:rFonts w:ascii="Arial" w:hAnsi="Arial" w:cs="Arial"/>
          <w:color w:val="000000"/>
          <w:sz w:val="22"/>
          <w:szCs w:val="22"/>
          <w:lang w:val="en-GB"/>
        </w:rPr>
        <w:t>, Valerie Sin</w:t>
      </w:r>
      <w:r w:rsidRPr="00613914">
        <w:rPr>
          <w:rFonts w:ascii="Arial" w:hAnsi="Arial" w:cs="Arial"/>
          <w:color w:val="000000"/>
          <w:sz w:val="22"/>
          <w:szCs w:val="22"/>
          <w:vertAlign w:val="superscript"/>
          <w:lang w:val="en-GB"/>
        </w:rPr>
        <w:t>1</w:t>
      </w:r>
      <w:r w:rsidRPr="00613914">
        <w:rPr>
          <w:rFonts w:ascii="Arial" w:hAnsi="Arial" w:cs="Arial"/>
          <w:color w:val="000000"/>
          <w:sz w:val="22"/>
          <w:szCs w:val="22"/>
          <w:lang w:val="en-GB"/>
        </w:rPr>
        <w:t>, Kyaw Thu Aung</w:t>
      </w:r>
      <w:r w:rsidRPr="00613914">
        <w:rPr>
          <w:rFonts w:ascii="Arial" w:hAnsi="Arial" w:cs="Arial"/>
          <w:color w:val="000000"/>
          <w:sz w:val="22"/>
          <w:szCs w:val="22"/>
          <w:vertAlign w:val="superscript"/>
          <w:lang w:val="en-GB"/>
        </w:rPr>
        <w:t>1,2</w:t>
      </w:r>
      <w:r w:rsidRPr="00613914">
        <w:rPr>
          <w:rFonts w:ascii="Arial" w:hAnsi="Arial" w:cs="Arial"/>
          <w:color w:val="000000"/>
          <w:sz w:val="22"/>
          <w:szCs w:val="22"/>
          <w:lang w:val="en-GB"/>
        </w:rPr>
        <w:t xml:space="preserve">, </w:t>
      </w:r>
      <w:proofErr w:type="spellStart"/>
      <w:r w:rsidRPr="00613914">
        <w:rPr>
          <w:rFonts w:ascii="Arial" w:hAnsi="Arial" w:cs="Arial"/>
          <w:color w:val="000000"/>
          <w:sz w:val="22"/>
          <w:szCs w:val="22"/>
          <w:lang w:val="en-GB"/>
        </w:rPr>
        <w:t>Hyungwon</w:t>
      </w:r>
      <w:proofErr w:type="spellEnd"/>
      <w:r w:rsidRPr="00613914">
        <w:rPr>
          <w:rFonts w:ascii="Arial" w:hAnsi="Arial" w:cs="Arial"/>
          <w:color w:val="000000"/>
          <w:sz w:val="22"/>
          <w:szCs w:val="22"/>
          <w:lang w:val="en-GB"/>
        </w:rPr>
        <w:t xml:space="preserve"> Choi</w:t>
      </w:r>
      <w:r w:rsidRPr="00613914">
        <w:rPr>
          <w:rFonts w:ascii="Arial" w:hAnsi="Arial" w:cs="Arial"/>
          <w:color w:val="000000"/>
          <w:sz w:val="22"/>
          <w:szCs w:val="22"/>
          <w:vertAlign w:val="superscript"/>
          <w:lang w:val="en-GB"/>
        </w:rPr>
        <w:t>3</w:t>
      </w:r>
      <w:r w:rsidRPr="00613914">
        <w:rPr>
          <w:rFonts w:ascii="Arial" w:hAnsi="Arial" w:cs="Arial"/>
          <w:color w:val="000000"/>
          <w:sz w:val="22"/>
          <w:szCs w:val="22"/>
          <w:lang w:val="en-GB"/>
        </w:rPr>
        <w:t>, Amaury Cazenave-Gassiot</w:t>
      </w:r>
      <w:r w:rsidRPr="00613914">
        <w:rPr>
          <w:rFonts w:ascii="Arial" w:hAnsi="Arial" w:cs="Arial"/>
          <w:color w:val="000000"/>
          <w:sz w:val="22"/>
          <w:szCs w:val="22"/>
          <w:vertAlign w:val="superscript"/>
          <w:lang w:val="en-GB"/>
        </w:rPr>
        <w:t>3</w:t>
      </w:r>
      <w:r w:rsidRPr="00613914">
        <w:rPr>
          <w:rFonts w:ascii="Arial" w:hAnsi="Arial" w:cs="Arial"/>
          <w:color w:val="000000"/>
          <w:sz w:val="22"/>
          <w:szCs w:val="22"/>
          <w:lang w:val="en-GB"/>
        </w:rPr>
        <w:t>, Federico Torta</w:t>
      </w:r>
      <w:r w:rsidRPr="00613914">
        <w:rPr>
          <w:rFonts w:ascii="Arial" w:hAnsi="Arial" w:cs="Arial"/>
          <w:color w:val="000000"/>
          <w:sz w:val="22"/>
          <w:szCs w:val="22"/>
          <w:vertAlign w:val="superscript"/>
          <w:lang w:val="en-GB"/>
        </w:rPr>
        <w:t>3</w:t>
      </w:r>
      <w:r w:rsidRPr="00613914">
        <w:rPr>
          <w:rFonts w:ascii="Arial" w:hAnsi="Arial" w:cs="Arial"/>
          <w:color w:val="212121"/>
          <w:sz w:val="22"/>
          <w:szCs w:val="22"/>
          <w:vertAlign w:val="superscript"/>
          <w:lang w:val="en-GB"/>
        </w:rPr>
        <w:t>,4</w:t>
      </w:r>
      <w:r w:rsidRPr="00613914">
        <w:rPr>
          <w:rFonts w:ascii="Arial" w:hAnsi="Arial" w:cs="Arial"/>
          <w:color w:val="000000"/>
          <w:sz w:val="22"/>
          <w:szCs w:val="22"/>
          <w:lang w:val="en-GB"/>
        </w:rPr>
        <w:t>, Mei Hui Liu</w:t>
      </w:r>
      <w:r w:rsidRPr="00613914">
        <w:rPr>
          <w:rFonts w:ascii="Arial" w:hAnsi="Arial" w:cs="Arial"/>
          <w:color w:val="000000"/>
          <w:sz w:val="22"/>
          <w:szCs w:val="22"/>
          <w:vertAlign w:val="superscript"/>
          <w:lang w:val="en-GB"/>
        </w:rPr>
        <w:t>2</w:t>
      </w:r>
    </w:p>
    <w:p w14:paraId="5869F9F1" w14:textId="77777777" w:rsidR="003653E9" w:rsidRPr="00613914" w:rsidRDefault="003653E9" w:rsidP="003653E9">
      <w:pPr>
        <w:jc w:val="both"/>
        <w:rPr>
          <w:rFonts w:ascii="Aptos" w:hAnsi="Aptos"/>
          <w:color w:val="212121"/>
          <w:lang w:val="en-GB"/>
        </w:rPr>
      </w:pPr>
      <w:r w:rsidRPr="00613914">
        <w:rPr>
          <w:rFonts w:ascii="Arial" w:hAnsi="Arial" w:cs="Arial"/>
          <w:color w:val="000000"/>
          <w:sz w:val="22"/>
          <w:szCs w:val="22"/>
          <w:lang w:val="en-GB"/>
        </w:rPr>
        <w:t> </w:t>
      </w:r>
    </w:p>
    <w:p w14:paraId="74A66CFD" w14:textId="77777777" w:rsidR="003653E9" w:rsidRPr="00613914" w:rsidRDefault="003653E9" w:rsidP="003653E9">
      <w:pPr>
        <w:jc w:val="both"/>
        <w:rPr>
          <w:rFonts w:ascii="Aptos" w:hAnsi="Aptos"/>
          <w:color w:val="212121"/>
          <w:lang w:val="en-GB"/>
        </w:rPr>
      </w:pPr>
      <w:r w:rsidRPr="00613914">
        <w:rPr>
          <w:rFonts w:ascii="Arial" w:hAnsi="Arial" w:cs="Arial"/>
          <w:i/>
          <w:iCs/>
          <w:color w:val="000000"/>
          <w:sz w:val="22"/>
          <w:szCs w:val="22"/>
          <w:vertAlign w:val="superscript"/>
          <w:lang w:val="en-GB"/>
        </w:rPr>
        <w:t>1</w:t>
      </w:r>
      <w:r w:rsidRPr="00613914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>National Centre for Food Science, Singapore Food Agency, Singapore</w:t>
      </w:r>
      <w:r w:rsidRPr="00613914">
        <w:rPr>
          <w:rFonts w:ascii="Arial" w:hAnsi="Arial" w:cs="Arial"/>
          <w:color w:val="000000"/>
          <w:sz w:val="22"/>
          <w:szCs w:val="22"/>
          <w:lang w:val="en-GB"/>
        </w:rPr>
        <w:t>, </w:t>
      </w:r>
    </w:p>
    <w:p w14:paraId="2FB008F7" w14:textId="77777777" w:rsidR="003653E9" w:rsidRPr="00613914" w:rsidRDefault="003653E9" w:rsidP="003653E9">
      <w:pPr>
        <w:jc w:val="both"/>
        <w:rPr>
          <w:rFonts w:ascii="Aptos" w:hAnsi="Aptos"/>
          <w:color w:val="212121"/>
          <w:lang w:val="en-GB"/>
        </w:rPr>
      </w:pPr>
      <w:r w:rsidRPr="00613914">
        <w:rPr>
          <w:rFonts w:ascii="Arial" w:hAnsi="Arial" w:cs="Arial"/>
          <w:i/>
          <w:iCs/>
          <w:color w:val="000000"/>
          <w:sz w:val="22"/>
          <w:szCs w:val="22"/>
          <w:vertAlign w:val="superscript"/>
          <w:lang w:val="en-GB"/>
        </w:rPr>
        <w:t>2</w:t>
      </w:r>
      <w:r w:rsidRPr="00613914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>Department of Food Science and Technology, National University of Singapore, Singapore, </w:t>
      </w:r>
    </w:p>
    <w:p w14:paraId="0F54CA85" w14:textId="77777777" w:rsidR="003653E9" w:rsidRPr="00613914" w:rsidRDefault="003653E9" w:rsidP="003653E9">
      <w:pPr>
        <w:jc w:val="both"/>
        <w:rPr>
          <w:rFonts w:ascii="Aptos" w:hAnsi="Aptos"/>
          <w:color w:val="000000" w:themeColor="text1"/>
          <w:lang w:val="en-GB"/>
        </w:rPr>
      </w:pPr>
      <w:r w:rsidRPr="00613914">
        <w:rPr>
          <w:rFonts w:ascii="Arial" w:hAnsi="Arial" w:cs="Arial"/>
          <w:i/>
          <w:iCs/>
          <w:color w:val="000000"/>
          <w:sz w:val="22"/>
          <w:szCs w:val="22"/>
          <w:vertAlign w:val="superscript"/>
          <w:lang w:val="en-GB"/>
        </w:rPr>
        <w:t>3</w:t>
      </w:r>
      <w:r w:rsidRPr="00613914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 xml:space="preserve">Singapore </w:t>
      </w:r>
      <w:proofErr w:type="spellStart"/>
      <w:r w:rsidRPr="00613914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>Lipidomics</w:t>
      </w:r>
      <w:proofErr w:type="spellEnd"/>
      <w:r w:rsidRPr="00613914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 xml:space="preserve"> Incubator, Life Sciences Institute, National University of Singapore, </w:t>
      </w:r>
      <w:r w:rsidRPr="00613914">
        <w:rPr>
          <w:rFonts w:ascii="Arial" w:hAnsi="Arial" w:cs="Arial"/>
          <w:i/>
          <w:iCs/>
          <w:color w:val="000000" w:themeColor="text1"/>
          <w:sz w:val="22"/>
          <w:szCs w:val="22"/>
          <w:lang w:val="en-GB"/>
        </w:rPr>
        <w:t>Singapore</w:t>
      </w:r>
    </w:p>
    <w:p w14:paraId="42E9FB2D" w14:textId="77777777" w:rsidR="003653E9" w:rsidRPr="00613914" w:rsidRDefault="003653E9" w:rsidP="003653E9">
      <w:pPr>
        <w:jc w:val="both"/>
        <w:rPr>
          <w:rFonts w:ascii="Aptos" w:hAnsi="Aptos"/>
          <w:color w:val="000000" w:themeColor="text1"/>
          <w:lang w:val="en-GB"/>
        </w:rPr>
      </w:pPr>
      <w:r w:rsidRPr="00613914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  <w:lang w:val="en-GB"/>
        </w:rPr>
        <w:t>4</w:t>
      </w:r>
      <w:r w:rsidRPr="00613914">
        <w:rPr>
          <w:rFonts w:ascii="Arial" w:hAnsi="Arial" w:cs="Arial"/>
          <w:i/>
          <w:iCs/>
          <w:color w:val="000000" w:themeColor="text1"/>
          <w:sz w:val="22"/>
          <w:szCs w:val="22"/>
          <w:lang w:val="en-GB"/>
        </w:rPr>
        <w:t>Signature Research Program in Cardiovascular and Metabolic Disorders, Duke-NUS Medical School, Singapore</w:t>
      </w:r>
    </w:p>
    <w:p w14:paraId="2555C34B" w14:textId="77777777" w:rsidR="003653E9" w:rsidRPr="00613914" w:rsidRDefault="003653E9" w:rsidP="003653E9">
      <w:pPr>
        <w:jc w:val="both"/>
        <w:rPr>
          <w:rFonts w:ascii="Aptos" w:hAnsi="Aptos"/>
          <w:color w:val="212121"/>
          <w:lang w:val="en-GB"/>
        </w:rPr>
      </w:pPr>
      <w:r w:rsidRPr="00613914">
        <w:rPr>
          <w:rFonts w:ascii="Arial" w:hAnsi="Arial" w:cs="Arial"/>
          <w:color w:val="212121"/>
          <w:sz w:val="22"/>
          <w:szCs w:val="22"/>
          <w:lang w:val="en-GB"/>
        </w:rPr>
        <w:t> </w:t>
      </w:r>
    </w:p>
    <w:p w14:paraId="20BEDF40" w14:textId="6E40C61A" w:rsidR="003653E9" w:rsidRPr="00613914" w:rsidRDefault="003653E9" w:rsidP="003653E9">
      <w:pPr>
        <w:jc w:val="both"/>
        <w:rPr>
          <w:rFonts w:ascii="Aptos" w:hAnsi="Aptos"/>
          <w:color w:val="212121"/>
          <w:lang w:val="en-GB"/>
        </w:rPr>
      </w:pPr>
      <w:r w:rsidRPr="00613914">
        <w:rPr>
          <w:rFonts w:ascii="Arial" w:hAnsi="Arial" w:cs="Arial"/>
          <w:color w:val="212121"/>
          <w:sz w:val="22"/>
          <w:szCs w:val="22"/>
          <w:lang w:val="en-GB"/>
        </w:rPr>
        <w:t xml:space="preserve">Singapore’s total diet study </w:t>
      </w:r>
      <w:r w:rsidR="00E115F0">
        <w:rPr>
          <w:rFonts w:ascii="Arial" w:hAnsi="Arial" w:cs="Arial"/>
          <w:color w:val="212121"/>
          <w:sz w:val="22"/>
          <w:szCs w:val="22"/>
          <w:lang w:val="en-GB"/>
        </w:rPr>
        <w:t xml:space="preserve">(TDS) </w:t>
      </w:r>
      <w:r w:rsidRPr="00613914">
        <w:rPr>
          <w:rFonts w:ascii="Arial" w:hAnsi="Arial" w:cs="Arial"/>
          <w:color w:val="212121"/>
          <w:sz w:val="22"/>
          <w:szCs w:val="22"/>
          <w:lang w:val="en-GB"/>
        </w:rPr>
        <w:t xml:space="preserve">identified several prioritised chemical hazards in food, alluding to potential dietary exposure pathways. However, evidence-based assessment of human dietary exposure to these chemicals is lacking across Singapore’s multi-ethnic communities. To address this gap, we established a pilot human biomonitoring study to estimate baseline exposure </w:t>
      </w:r>
      <w:r w:rsidR="00137587">
        <w:rPr>
          <w:rFonts w:ascii="Arial" w:hAnsi="Arial" w:cs="Arial"/>
          <w:color w:val="212121"/>
          <w:sz w:val="22"/>
          <w:szCs w:val="22"/>
          <w:lang w:val="en-GB"/>
        </w:rPr>
        <w:t>to</w:t>
      </w:r>
      <w:r w:rsidRPr="00613914">
        <w:rPr>
          <w:rFonts w:ascii="Arial" w:hAnsi="Arial" w:cs="Arial"/>
          <w:color w:val="212121"/>
          <w:sz w:val="22"/>
          <w:szCs w:val="22"/>
          <w:lang w:val="en-GB"/>
        </w:rPr>
        <w:t> acrylamide using blood biomarkers and evaluate their associations with dietary intake. We recruited 300 healthy participants aged 21–60 years from three major ethnic groups. Blood samples were analysed using a validated liquid chromatography-tandem mass spectrometry method, and dietary intake was assessed using a validated food frequency questionnaire.</w:t>
      </w:r>
    </w:p>
    <w:p w14:paraId="558754FE" w14:textId="77777777" w:rsidR="003653E9" w:rsidRPr="00613914" w:rsidRDefault="003653E9" w:rsidP="003653E9">
      <w:pPr>
        <w:jc w:val="both"/>
        <w:rPr>
          <w:rFonts w:ascii="Aptos" w:hAnsi="Aptos"/>
          <w:color w:val="212121"/>
          <w:lang w:val="en-GB"/>
        </w:rPr>
      </w:pPr>
      <w:r w:rsidRPr="00613914">
        <w:rPr>
          <w:rFonts w:ascii="Arial" w:hAnsi="Arial" w:cs="Arial"/>
          <w:color w:val="000000"/>
          <w:sz w:val="22"/>
          <w:szCs w:val="22"/>
          <w:lang w:val="en-GB"/>
        </w:rPr>
        <w:t> </w:t>
      </w:r>
    </w:p>
    <w:p w14:paraId="725239FA" w14:textId="5CC0FE28" w:rsidR="00E115F0" w:rsidRDefault="0002127A" w:rsidP="003653E9">
      <w:pPr>
        <w:jc w:val="both"/>
        <w:rPr>
          <w:rFonts w:ascii="Arial" w:hAnsi="Arial" w:cs="Arial"/>
          <w:color w:val="212121"/>
          <w:sz w:val="22"/>
          <w:szCs w:val="22"/>
          <w:lang w:val="en-GB"/>
        </w:rPr>
      </w:pPr>
      <w:r w:rsidRPr="0002127A">
        <w:rPr>
          <w:rFonts w:ascii="Arial" w:hAnsi="Arial" w:cs="Arial"/>
          <w:color w:val="212121"/>
          <w:sz w:val="22"/>
          <w:szCs w:val="22"/>
          <w:lang w:val="en-GB"/>
        </w:rPr>
        <w:t xml:space="preserve">Haemoglobin adducts of acrylamide and its metabolite </w:t>
      </w:r>
      <w:proofErr w:type="spellStart"/>
      <w:r w:rsidRPr="0002127A">
        <w:rPr>
          <w:rFonts w:ascii="Arial" w:hAnsi="Arial" w:cs="Arial"/>
          <w:color w:val="212121"/>
          <w:sz w:val="22"/>
          <w:szCs w:val="22"/>
          <w:lang w:val="en-GB"/>
        </w:rPr>
        <w:t>glycidamide</w:t>
      </w:r>
      <w:proofErr w:type="spellEnd"/>
      <w:r w:rsidRPr="0002127A">
        <w:rPr>
          <w:rFonts w:ascii="Arial" w:hAnsi="Arial" w:cs="Arial"/>
          <w:color w:val="212121"/>
          <w:sz w:val="22"/>
          <w:szCs w:val="22"/>
          <w:lang w:val="en-GB"/>
        </w:rPr>
        <w:t xml:space="preserve"> (</w:t>
      </w:r>
      <w:proofErr w:type="spellStart"/>
      <w:r w:rsidRPr="0002127A">
        <w:rPr>
          <w:rFonts w:ascii="Arial" w:hAnsi="Arial" w:cs="Arial"/>
          <w:color w:val="212121"/>
          <w:sz w:val="22"/>
          <w:szCs w:val="22"/>
          <w:lang w:val="en-GB"/>
        </w:rPr>
        <w:t>AAVal</w:t>
      </w:r>
      <w:proofErr w:type="spellEnd"/>
      <w:r w:rsidRPr="0002127A">
        <w:rPr>
          <w:rFonts w:ascii="Arial" w:hAnsi="Arial" w:cs="Arial"/>
          <w:color w:val="212121"/>
          <w:sz w:val="22"/>
          <w:szCs w:val="22"/>
          <w:lang w:val="en-GB"/>
        </w:rPr>
        <w:t xml:space="preserve"> and GAVal) were detected in all participants. Biomonitoring equivalent exceedances were observed in 2.0% and 0.3% of participants for </w:t>
      </w:r>
      <w:proofErr w:type="spellStart"/>
      <w:r w:rsidRPr="0002127A">
        <w:rPr>
          <w:rFonts w:ascii="Arial" w:hAnsi="Arial" w:cs="Arial"/>
          <w:color w:val="212121"/>
          <w:sz w:val="22"/>
          <w:szCs w:val="22"/>
          <w:lang w:val="en-GB"/>
        </w:rPr>
        <w:t>AAVal</w:t>
      </w:r>
      <w:proofErr w:type="spellEnd"/>
      <w:r w:rsidRPr="0002127A">
        <w:rPr>
          <w:rFonts w:ascii="Arial" w:hAnsi="Arial" w:cs="Arial"/>
          <w:color w:val="212121"/>
          <w:sz w:val="22"/>
          <w:szCs w:val="22"/>
          <w:lang w:val="en-GB"/>
        </w:rPr>
        <w:t xml:space="preserve"> and GAVal, respectively, and occurred predominantly among smokers. Multivariable linear regression analyses did not identify significant associations between individual food </w:t>
      </w:r>
      <w:r>
        <w:rPr>
          <w:rFonts w:ascii="Arial" w:hAnsi="Arial" w:cs="Arial"/>
          <w:color w:val="212121"/>
          <w:sz w:val="22"/>
          <w:szCs w:val="22"/>
          <w:lang w:val="en-GB"/>
        </w:rPr>
        <w:t>intake</w:t>
      </w:r>
      <w:r w:rsidRPr="0002127A">
        <w:rPr>
          <w:rFonts w:ascii="Arial" w:hAnsi="Arial" w:cs="Arial"/>
          <w:color w:val="212121"/>
          <w:sz w:val="22"/>
          <w:szCs w:val="22"/>
          <w:lang w:val="en-GB"/>
        </w:rPr>
        <w:t xml:space="preserve"> and </w:t>
      </w:r>
      <w:r>
        <w:rPr>
          <w:rFonts w:ascii="Arial" w:hAnsi="Arial" w:cs="Arial"/>
          <w:color w:val="212121"/>
          <w:sz w:val="22"/>
          <w:szCs w:val="22"/>
          <w:lang w:val="en-GB"/>
        </w:rPr>
        <w:t>haemoglobin</w:t>
      </w:r>
      <w:r w:rsidRPr="0002127A">
        <w:rPr>
          <w:rFonts w:ascii="Arial" w:hAnsi="Arial" w:cs="Arial"/>
          <w:color w:val="212121"/>
          <w:sz w:val="22"/>
          <w:szCs w:val="22"/>
          <w:lang w:val="en-GB"/>
        </w:rPr>
        <w:t xml:space="preserve"> adduct concentrations after adjustment for multiple testing. </w:t>
      </w:r>
      <w:r w:rsidR="00E115F0" w:rsidRPr="00E115F0">
        <w:rPr>
          <w:rFonts w:ascii="Arial" w:hAnsi="Arial" w:cs="Arial"/>
          <w:color w:val="212121"/>
          <w:sz w:val="22"/>
          <w:szCs w:val="22"/>
          <w:lang w:val="en-GB"/>
        </w:rPr>
        <w:t xml:space="preserve">Selected food types identified as potential dietary sources of acrylamide from the Singapore </w:t>
      </w:r>
      <w:r w:rsidR="00E115F0">
        <w:rPr>
          <w:rFonts w:ascii="Arial" w:hAnsi="Arial" w:cs="Arial"/>
          <w:color w:val="212121"/>
          <w:sz w:val="22"/>
          <w:szCs w:val="22"/>
          <w:lang w:val="en-GB"/>
        </w:rPr>
        <w:t>TDS</w:t>
      </w:r>
      <w:r w:rsidR="00E115F0" w:rsidRPr="00E115F0">
        <w:rPr>
          <w:rFonts w:ascii="Arial" w:hAnsi="Arial" w:cs="Arial"/>
          <w:color w:val="212121"/>
          <w:sz w:val="22"/>
          <w:szCs w:val="22"/>
          <w:lang w:val="en-GB"/>
        </w:rPr>
        <w:t xml:space="preserve"> and published literature were included in a reduced rank regression analysis, which identified a dietary pattern characterised by higher consumption of flour confectionery products, coffee, and potato-based foods that was modestly associated with both </w:t>
      </w:r>
      <w:proofErr w:type="spellStart"/>
      <w:r w:rsidR="00E115F0" w:rsidRPr="00E115F0">
        <w:rPr>
          <w:rFonts w:ascii="Arial" w:hAnsi="Arial" w:cs="Arial"/>
          <w:color w:val="212121"/>
          <w:sz w:val="22"/>
          <w:szCs w:val="22"/>
          <w:lang w:val="en-GB"/>
        </w:rPr>
        <w:t>AAVal</w:t>
      </w:r>
      <w:proofErr w:type="spellEnd"/>
      <w:r w:rsidR="00E115F0" w:rsidRPr="00E115F0">
        <w:rPr>
          <w:rFonts w:ascii="Arial" w:hAnsi="Arial" w:cs="Arial"/>
          <w:color w:val="212121"/>
          <w:sz w:val="22"/>
          <w:szCs w:val="22"/>
          <w:lang w:val="en-GB"/>
        </w:rPr>
        <w:t xml:space="preserve"> and GAVal concentrations.</w:t>
      </w:r>
    </w:p>
    <w:p w14:paraId="49E7054F" w14:textId="4BCF7F44" w:rsidR="003653E9" w:rsidRPr="00613914" w:rsidRDefault="003653E9" w:rsidP="003653E9">
      <w:pPr>
        <w:jc w:val="both"/>
        <w:rPr>
          <w:rFonts w:ascii="Aptos" w:hAnsi="Aptos"/>
          <w:color w:val="212121"/>
          <w:lang w:val="en-GB"/>
        </w:rPr>
      </w:pPr>
      <w:r w:rsidRPr="00613914">
        <w:rPr>
          <w:rFonts w:ascii="Aptos" w:hAnsi="Aptos"/>
          <w:color w:val="212121"/>
          <w:lang w:val="en-GB"/>
        </w:rPr>
        <w:t> </w:t>
      </w:r>
    </w:p>
    <w:p w14:paraId="3EC373E7" w14:textId="5D7F3E5F" w:rsidR="003653E9" w:rsidRPr="00613914" w:rsidRDefault="003653E9" w:rsidP="003653E9">
      <w:pPr>
        <w:jc w:val="both"/>
        <w:rPr>
          <w:rFonts w:ascii="Aptos" w:hAnsi="Aptos"/>
          <w:color w:val="212121"/>
          <w:lang w:val="en-GB"/>
        </w:rPr>
      </w:pPr>
      <w:r w:rsidRPr="00613914">
        <w:rPr>
          <w:rFonts w:ascii="Arial" w:hAnsi="Arial" w:cs="Arial"/>
          <w:color w:val="000000"/>
          <w:sz w:val="22"/>
          <w:szCs w:val="22"/>
          <w:lang w:val="en-GB"/>
        </w:rPr>
        <w:t xml:space="preserve">These findings suggest that acrylamide exposure may be influenced by dietary patterns. </w:t>
      </w:r>
      <w:r w:rsidR="0002127A">
        <w:rPr>
          <w:rFonts w:ascii="Arial" w:hAnsi="Arial" w:cs="Arial"/>
          <w:color w:val="000000"/>
          <w:sz w:val="22"/>
          <w:szCs w:val="22"/>
          <w:lang w:val="en-GB"/>
        </w:rPr>
        <w:t>T</w:t>
      </w:r>
      <w:r w:rsidR="0002127A" w:rsidRPr="0002127A">
        <w:rPr>
          <w:rFonts w:ascii="Arial" w:hAnsi="Arial" w:cs="Arial"/>
          <w:color w:val="000000"/>
          <w:sz w:val="22"/>
          <w:szCs w:val="22"/>
          <w:lang w:val="en-GB"/>
        </w:rPr>
        <w:t xml:space="preserve">he observed dietary pattern associations </w:t>
      </w:r>
      <w:r w:rsidR="0002127A">
        <w:rPr>
          <w:rFonts w:ascii="Arial" w:hAnsi="Arial" w:cs="Arial"/>
          <w:color w:val="000000"/>
          <w:sz w:val="22"/>
          <w:szCs w:val="22"/>
          <w:lang w:val="en-GB"/>
        </w:rPr>
        <w:t xml:space="preserve">in this pilot study </w:t>
      </w:r>
      <w:r w:rsidR="0002127A" w:rsidRPr="0002127A">
        <w:rPr>
          <w:rFonts w:ascii="Arial" w:hAnsi="Arial" w:cs="Arial"/>
          <w:color w:val="000000"/>
          <w:sz w:val="22"/>
          <w:szCs w:val="22"/>
          <w:lang w:val="en-GB"/>
        </w:rPr>
        <w:t xml:space="preserve">require validation in larger cohorts </w:t>
      </w:r>
      <w:r w:rsidR="00E115F0">
        <w:rPr>
          <w:rFonts w:ascii="Arial" w:hAnsi="Arial" w:cs="Arial"/>
          <w:color w:val="000000"/>
          <w:sz w:val="22"/>
          <w:szCs w:val="22"/>
          <w:lang w:val="en-GB"/>
        </w:rPr>
        <w:t>for precise and robust estimation of effect sizes</w:t>
      </w:r>
      <w:r w:rsidR="0002127A" w:rsidRPr="0002127A">
        <w:rPr>
          <w:rFonts w:ascii="Arial" w:hAnsi="Arial" w:cs="Arial"/>
          <w:color w:val="000000"/>
          <w:sz w:val="22"/>
          <w:szCs w:val="22"/>
          <w:lang w:val="en-GB"/>
        </w:rPr>
        <w:t>.</w:t>
      </w:r>
      <w:r w:rsidR="0002127A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Pr="00613914">
        <w:rPr>
          <w:rFonts w:ascii="Arial" w:hAnsi="Arial" w:cs="Arial"/>
          <w:color w:val="000000"/>
          <w:sz w:val="22"/>
          <w:szCs w:val="22"/>
          <w:lang w:val="en-GB"/>
        </w:rPr>
        <w:t xml:space="preserve">This study provides </w:t>
      </w:r>
      <w:r w:rsidR="00E115F0">
        <w:rPr>
          <w:rFonts w:ascii="Arial" w:hAnsi="Arial" w:cs="Arial"/>
          <w:color w:val="000000"/>
          <w:sz w:val="22"/>
          <w:szCs w:val="22"/>
          <w:lang w:val="en-GB"/>
        </w:rPr>
        <w:t>first human</w:t>
      </w:r>
      <w:r w:rsidRPr="00613914">
        <w:rPr>
          <w:rFonts w:ascii="Arial" w:hAnsi="Arial" w:cs="Arial"/>
          <w:color w:val="000000"/>
          <w:sz w:val="22"/>
          <w:szCs w:val="22"/>
          <w:lang w:val="en-GB"/>
        </w:rPr>
        <w:t xml:space="preserve"> evidence of dietary-related chemical exposures in Singapore. </w:t>
      </w:r>
    </w:p>
    <w:sectPr w:rsidR="003653E9" w:rsidRPr="006139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C91ED2"/>
    <w:multiLevelType w:val="multilevel"/>
    <w:tmpl w:val="1CECE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39767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671"/>
    <w:rsid w:val="000006AF"/>
    <w:rsid w:val="0002127A"/>
    <w:rsid w:val="00041A03"/>
    <w:rsid w:val="00046BD8"/>
    <w:rsid w:val="00052B60"/>
    <w:rsid w:val="00077671"/>
    <w:rsid w:val="000B09B6"/>
    <w:rsid w:val="00131164"/>
    <w:rsid w:val="00137587"/>
    <w:rsid w:val="0017727B"/>
    <w:rsid w:val="0018330E"/>
    <w:rsid w:val="00195F5C"/>
    <w:rsid w:val="001D6B17"/>
    <w:rsid w:val="001E188E"/>
    <w:rsid w:val="00263E4C"/>
    <w:rsid w:val="00275917"/>
    <w:rsid w:val="00311762"/>
    <w:rsid w:val="003653E9"/>
    <w:rsid w:val="00377461"/>
    <w:rsid w:val="003A22BB"/>
    <w:rsid w:val="003D2555"/>
    <w:rsid w:val="004273A2"/>
    <w:rsid w:val="00467CB3"/>
    <w:rsid w:val="00472110"/>
    <w:rsid w:val="00475541"/>
    <w:rsid w:val="004A2252"/>
    <w:rsid w:val="004A3CF2"/>
    <w:rsid w:val="004B7DFA"/>
    <w:rsid w:val="004D0965"/>
    <w:rsid w:val="00520E42"/>
    <w:rsid w:val="005E411D"/>
    <w:rsid w:val="00613914"/>
    <w:rsid w:val="00693868"/>
    <w:rsid w:val="007468C5"/>
    <w:rsid w:val="0077341A"/>
    <w:rsid w:val="007854BF"/>
    <w:rsid w:val="007A4AE7"/>
    <w:rsid w:val="007C2E5F"/>
    <w:rsid w:val="007E2171"/>
    <w:rsid w:val="009068F1"/>
    <w:rsid w:val="00913D3F"/>
    <w:rsid w:val="00941D0F"/>
    <w:rsid w:val="00943D77"/>
    <w:rsid w:val="00976693"/>
    <w:rsid w:val="009C71E5"/>
    <w:rsid w:val="009D23A8"/>
    <w:rsid w:val="009F01D9"/>
    <w:rsid w:val="00A3183F"/>
    <w:rsid w:val="00AC57F5"/>
    <w:rsid w:val="00AE7B51"/>
    <w:rsid w:val="00B506D1"/>
    <w:rsid w:val="00C1729D"/>
    <w:rsid w:val="00D228DF"/>
    <w:rsid w:val="00D331EC"/>
    <w:rsid w:val="00D842C1"/>
    <w:rsid w:val="00D859E1"/>
    <w:rsid w:val="00D960FD"/>
    <w:rsid w:val="00DB737F"/>
    <w:rsid w:val="00E115F0"/>
    <w:rsid w:val="00E501AB"/>
    <w:rsid w:val="00E51BC0"/>
    <w:rsid w:val="00FC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ED45B"/>
  <w15:chartTrackingRefBased/>
  <w15:docId w15:val="{661B6792-606A-4A9C-832E-28874BDF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DF"/>
    <w:rPr>
      <w:kern w:val="0"/>
      <w:sz w:val="24"/>
      <w:szCs w:val="24"/>
      <w:lang w:eastAsia="it-IT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228DF"/>
    <w:pPr>
      <w:keepNext/>
      <w:outlineLvl w:val="0"/>
    </w:pPr>
    <w:rPr>
      <w:rFonts w:ascii="Georgia" w:hAnsi="Georgia"/>
      <w:sz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228DF"/>
    <w:pPr>
      <w:keepNext/>
      <w:outlineLvl w:val="1"/>
    </w:pPr>
    <w:rPr>
      <w:rFonts w:ascii="Georgia" w:hAnsi="Georgia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228DF"/>
    <w:rPr>
      <w:rFonts w:ascii="Georgia" w:hAnsi="Georgia"/>
      <w:sz w:val="32"/>
      <w:szCs w:val="24"/>
      <w:lang w:eastAsia="it-IT"/>
    </w:rPr>
  </w:style>
  <w:style w:type="character" w:customStyle="1" w:styleId="Heading2Char">
    <w:name w:val="Heading 2 Char"/>
    <w:link w:val="Heading2"/>
    <w:semiHidden/>
    <w:rsid w:val="00D228DF"/>
    <w:rPr>
      <w:rFonts w:ascii="Georgia" w:hAnsi="Georgia"/>
      <w:sz w:val="40"/>
      <w:szCs w:val="24"/>
      <w:lang w:eastAsia="it-IT"/>
    </w:rPr>
  </w:style>
  <w:style w:type="paragraph" w:styleId="ListParagraph">
    <w:name w:val="List Paragraph"/>
    <w:basedOn w:val="Normal"/>
    <w:uiPriority w:val="34"/>
    <w:qFormat/>
    <w:rsid w:val="00D228DF"/>
    <w:pPr>
      <w:ind w:left="720"/>
    </w:pPr>
  </w:style>
  <w:style w:type="character" w:styleId="Strong">
    <w:name w:val="Strong"/>
    <w:basedOn w:val="DefaultParagraphFont"/>
    <w:uiPriority w:val="22"/>
    <w:qFormat/>
    <w:rsid w:val="00D842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15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5F19768-EE8A-A047-A7DB-A27A071BA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Progress</dc:creator>
  <cp:keywords/>
  <dc:description/>
  <cp:lastModifiedBy>Angela Li</cp:lastModifiedBy>
  <cp:revision>12</cp:revision>
  <dcterms:created xsi:type="dcterms:W3CDTF">2026-06-18T08:46:00Z</dcterms:created>
  <dcterms:modified xsi:type="dcterms:W3CDTF">2026-06-23T00:17:00Z</dcterms:modified>
</cp:coreProperties>
</file>